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center"/>
        <w:rPr>
          <w:rFonts w:ascii="SimSun" w:eastAsia="SimSun" w:hAnsi="SimSun" w:cs="SimSun"/>
          <w:color w:val="484848"/>
          <w:kern w:val="0"/>
          <w:sz w:val="18"/>
          <w:szCs w:val="18"/>
        </w:rPr>
      </w:pPr>
      <w:bookmarkStart w:id="0" w:name="_GoBack"/>
      <w:bookmarkEnd w:id="0"/>
      <w:r>
        <w:rPr>
          <w:rFonts w:ascii="SimSun" w:eastAsia="SimSun" w:hAnsi="SimSun" w:cs="SimSun"/>
          <w:noProof/>
          <w:color w:val="484848"/>
          <w:kern w:val="0"/>
          <w:sz w:val="27"/>
          <w:szCs w:val="27"/>
          <w:lang w:val="en-GB" w:eastAsia="en-GB"/>
        </w:rPr>
        <w:drawing>
          <wp:inline distT="0" distB="0" distL="0" distR="0">
            <wp:extent cx="7162800" cy="3609975"/>
            <wp:effectExtent l="19050" t="0" r="0" b="0"/>
            <wp:docPr id="2" name="图片 2" descr="http://www.chinapsc.org/uploads/ck/a811f7b4-113c-42d7-b7ca-66b1fd4ba2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inapsc.org/uploads/ck/a811f7b4-113c-42d7-b7ca-66b1fd4ba27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0" cy="3609975"/>
                    </a:xfrm>
                    <a:prstGeom prst="rect">
                      <a:avLst/>
                    </a:prstGeom>
                    <a:ln>
                      <a:noFill/>
                    </a:ln>
                    <a:effectLst>
                      <a:softEdge rad="112500"/>
                    </a:effectLst>
                  </pic:spPr>
                </pic:pic>
              </a:graphicData>
            </a:graphic>
          </wp:inline>
        </w:drawing>
      </w:r>
      <w:r>
        <w:rPr>
          <w:rFonts w:ascii="SimSun" w:eastAsia="SimSun" w:hAnsi="SimSun" w:cs="SimSun" w:hint="eastAsia"/>
          <w:color w:val="484848"/>
          <w:kern w:val="0"/>
          <w:sz w:val="18"/>
          <w:szCs w:val="18"/>
        </w:rPr>
        <w:br w:type="textWrapping" w:clear="all"/>
      </w:r>
    </w:p>
    <w:p>
      <w:pPr>
        <w:widowControl/>
        <w:spacing w:before="100" w:beforeAutospacing="1" w:after="100" w:afterAutospacing="1"/>
        <w:jc w:val="center"/>
        <w:rPr>
          <w:rFonts w:ascii="SimSun" w:eastAsia="SimSun" w:hAnsi="SimSun" w:cs="SimSun"/>
          <w:color w:val="484848"/>
          <w:kern w:val="0"/>
          <w:sz w:val="18"/>
          <w:szCs w:val="18"/>
        </w:rPr>
      </w:pPr>
      <w:r>
        <w:rPr>
          <w:rFonts w:ascii="SimSun" w:eastAsia="SimSun" w:hAnsi="SimSun" w:cs="SimSun" w:hint="eastAsia"/>
          <w:b/>
          <w:bCs/>
          <w:color w:val="484848"/>
          <w:kern w:val="0"/>
          <w:sz w:val="36"/>
          <w:szCs w:val="36"/>
        </w:rPr>
        <w:t>中华人民共和国海事局关于加强船舶排放控制区监督管理工作的通知</w:t>
      </w:r>
    </w:p>
    <w:p>
      <w:pPr>
        <w:widowControl/>
        <w:spacing w:before="100" w:beforeAutospacing="1" w:after="100" w:afterAutospacing="1"/>
        <w:jc w:val="left"/>
        <w:rPr>
          <w:rFonts w:ascii="SimSun" w:eastAsia="SimSun" w:hAnsi="SimSun" w:cs="SimSun"/>
          <w:color w:val="484848"/>
          <w:kern w:val="0"/>
          <w:sz w:val="18"/>
          <w:szCs w:val="18"/>
        </w:rPr>
      </w:pPr>
      <w:r>
        <w:rPr>
          <w:rFonts w:ascii="SimSun" w:eastAsia="SimSun" w:hAnsi="SimSun" w:cs="SimSun" w:hint="eastAsia"/>
          <w:color w:val="484848"/>
          <w:kern w:val="0"/>
          <w:sz w:val="27"/>
          <w:szCs w:val="27"/>
        </w:rPr>
        <w:t> </w:t>
      </w:r>
    </w:p>
    <w:p>
      <w:pPr>
        <w:widowControl/>
        <w:spacing w:before="100" w:beforeAutospacing="1" w:after="100" w:afterAutospacing="1"/>
        <w:jc w:val="left"/>
        <w:rPr>
          <w:rFonts w:ascii="SimSun" w:eastAsia="SimSun" w:hAnsi="SimSun" w:cs="SimSun"/>
          <w:color w:val="484848"/>
          <w:kern w:val="0"/>
          <w:sz w:val="18"/>
          <w:szCs w:val="18"/>
        </w:rPr>
      </w:pPr>
      <w:r>
        <w:rPr>
          <w:rFonts w:ascii="SimSun" w:eastAsia="SimSun" w:hAnsi="SimSun" w:cs="SimSun" w:hint="eastAsia"/>
          <w:color w:val="484848"/>
          <w:kern w:val="0"/>
          <w:sz w:val="27"/>
          <w:szCs w:val="27"/>
        </w:rPr>
        <w:t>各有关单位：</w:t>
      </w:r>
    </w:p>
    <w:p>
      <w:pPr>
        <w:widowControl/>
        <w:spacing w:before="100" w:beforeAutospacing="1" w:after="100" w:afterAutospacing="1"/>
        <w:jc w:val="left"/>
        <w:rPr>
          <w:rFonts w:ascii="SimSun" w:eastAsia="SimSun" w:hAnsi="SimSun" w:cs="SimSun"/>
          <w:color w:val="484848"/>
          <w:kern w:val="0"/>
          <w:sz w:val="18"/>
          <w:szCs w:val="18"/>
        </w:rPr>
      </w:pPr>
      <w:r>
        <w:rPr>
          <w:rFonts w:ascii="SimSun" w:eastAsia="SimSun" w:hAnsi="SimSun" w:cs="SimSun" w:hint="eastAsia"/>
          <w:color w:val="484848"/>
          <w:kern w:val="0"/>
          <w:sz w:val="27"/>
          <w:szCs w:val="27"/>
        </w:rPr>
        <w:t>根据《中华人民共和国大气污染防治法》、《中华人民共和国海洋环境保护法》、《防治船舶污染海洋环境管理条例》、《防治船舶污染内河水域环境管理规定》等法律法规规章的要求，为落实交通运输部发布的《珠三角、长三角、环渤海（京津冀）水域船舶排放控制区实施方案》（交海发〔2015〕177号，以下简称《方案》），便利船舶在船舶排放</w:t>
      </w:r>
      <w:r>
        <w:rPr>
          <w:rFonts w:ascii="SimSun" w:eastAsia="SimSun" w:hAnsi="SimSun" w:cs="SimSun" w:hint="eastAsia"/>
          <w:color w:val="484848"/>
          <w:kern w:val="0"/>
          <w:sz w:val="27"/>
          <w:szCs w:val="27"/>
        </w:rPr>
        <w:lastRenderedPageBreak/>
        <w:t>控制区（以下简称“控制区”）航行、停泊和作业，加强船舶大气污染防治监督管理，改善大气环境质量，现将有关要求通知如下：</w:t>
      </w:r>
    </w:p>
    <w:p>
      <w:pPr>
        <w:widowControl/>
        <w:spacing w:before="100" w:beforeAutospacing="1" w:after="100" w:afterAutospacing="1"/>
        <w:jc w:val="left"/>
        <w:rPr>
          <w:rFonts w:ascii="SimSun" w:eastAsia="SimSun" w:hAnsi="SimSun" w:cs="SimSun"/>
          <w:color w:val="484848"/>
          <w:kern w:val="0"/>
          <w:sz w:val="18"/>
          <w:szCs w:val="18"/>
        </w:rPr>
      </w:pPr>
      <w:r>
        <w:rPr>
          <w:rFonts w:ascii="SimSun" w:eastAsia="SimSun" w:hAnsi="SimSun" w:cs="SimSun" w:hint="eastAsia"/>
          <w:color w:val="484848"/>
          <w:kern w:val="0"/>
          <w:sz w:val="27"/>
          <w:szCs w:val="27"/>
        </w:rPr>
        <w:t>一、按照《方案》控制要求在控制区内需要转换低硫燃油的船舶，应将换油的起止日期、时间、船舶经纬度和燃油含硫量，以及低硫燃油的使用量、换油操作人员等信息记录在轮机日志中。需要换油的船舶应配备一份书面的燃油转换程序，作为船舶安全管理体系的组成部分。</w:t>
      </w:r>
    </w:p>
    <w:p>
      <w:pPr>
        <w:widowControl/>
        <w:spacing w:before="100" w:beforeAutospacing="1" w:after="100" w:afterAutospacing="1"/>
        <w:jc w:val="left"/>
        <w:rPr>
          <w:rFonts w:ascii="SimSun" w:eastAsia="SimSun" w:hAnsi="SimSun" w:cs="SimSun"/>
          <w:color w:val="484848"/>
          <w:kern w:val="0"/>
          <w:sz w:val="18"/>
          <w:szCs w:val="18"/>
        </w:rPr>
      </w:pPr>
      <w:r>
        <w:rPr>
          <w:rFonts w:ascii="SimSun" w:eastAsia="SimSun" w:hAnsi="SimSun" w:cs="SimSun" w:hint="eastAsia"/>
          <w:color w:val="484848"/>
          <w:kern w:val="0"/>
          <w:sz w:val="27"/>
          <w:szCs w:val="27"/>
        </w:rPr>
        <w:t>船舶燃油供给单位应对每批次燃油进行检测，并按规定将检测报告留存备查，已经检测的燃油又经调和或者与其它燃油混装的，应当重新检测。船舶燃油供给单位应当依法向船舶提供船舶燃油供受单证和燃油样品。船舶应将燃油供受单证保存3年，将燃油样品保存至少1年并直至所加燃油用完为止。</w:t>
      </w:r>
    </w:p>
    <w:p>
      <w:pPr>
        <w:widowControl/>
        <w:spacing w:before="100" w:beforeAutospacing="1" w:after="100" w:afterAutospacing="1"/>
        <w:jc w:val="left"/>
        <w:rPr>
          <w:rFonts w:ascii="SimSun" w:eastAsia="SimSun" w:hAnsi="SimSun" w:cs="SimSun"/>
          <w:color w:val="484848"/>
          <w:kern w:val="0"/>
          <w:sz w:val="18"/>
          <w:szCs w:val="18"/>
        </w:rPr>
      </w:pPr>
      <w:r>
        <w:rPr>
          <w:rFonts w:ascii="SimSun" w:eastAsia="SimSun" w:hAnsi="SimSun" w:cs="SimSun" w:hint="eastAsia"/>
          <w:color w:val="484848"/>
          <w:kern w:val="0"/>
          <w:sz w:val="27"/>
          <w:szCs w:val="27"/>
        </w:rPr>
        <w:t>二、船舶和码头具备岸基供受电条件，且已就供受电程序做出了适当安排，在不影响船岸安全的前提下，船舶应优先使用岸电。船舶应将岸电使用起止日期及时间、操作人员等信息记录在轮机日志中。</w:t>
      </w:r>
    </w:p>
    <w:p>
      <w:pPr>
        <w:widowControl/>
        <w:spacing w:before="100" w:beforeAutospacing="1" w:after="100" w:afterAutospacing="1"/>
        <w:jc w:val="left"/>
        <w:rPr>
          <w:rFonts w:ascii="SimSun" w:eastAsia="SimSun" w:hAnsi="SimSun" w:cs="SimSun"/>
          <w:color w:val="484848"/>
          <w:kern w:val="0"/>
          <w:sz w:val="18"/>
          <w:szCs w:val="18"/>
        </w:rPr>
      </w:pPr>
      <w:r>
        <w:rPr>
          <w:rFonts w:ascii="SimSun" w:eastAsia="SimSun" w:hAnsi="SimSun" w:cs="SimSun" w:hint="eastAsia"/>
          <w:color w:val="484848"/>
          <w:kern w:val="0"/>
          <w:sz w:val="27"/>
          <w:szCs w:val="27"/>
        </w:rPr>
        <w:t>    船舶使用岸电的，船岸双方应当按照规定的程序操作，岸电提供方应为船舶提供书面的使用程序手册和安全作业指南。</w:t>
      </w:r>
    </w:p>
    <w:p>
      <w:pPr>
        <w:widowControl/>
        <w:spacing w:before="100" w:beforeAutospacing="1" w:after="100" w:afterAutospacing="1"/>
        <w:jc w:val="left"/>
        <w:rPr>
          <w:rFonts w:ascii="SimSun" w:eastAsia="SimSun" w:hAnsi="SimSun" w:cs="SimSun"/>
          <w:color w:val="484848"/>
          <w:kern w:val="0"/>
          <w:sz w:val="18"/>
          <w:szCs w:val="18"/>
        </w:rPr>
      </w:pPr>
      <w:r>
        <w:rPr>
          <w:rFonts w:ascii="SimSun" w:eastAsia="SimSun" w:hAnsi="SimSun" w:cs="SimSun" w:hint="eastAsia"/>
          <w:color w:val="484848"/>
          <w:kern w:val="0"/>
          <w:sz w:val="27"/>
          <w:szCs w:val="27"/>
        </w:rPr>
        <w:t>三、使用液化天然气或其他低排放船舶燃料等清洁能源作为替代措施的船舶，应在船舶检验机构签发的船舶防止空气污染证书的记事栏中备注使用清洁能源的种类。双燃料动力船舶应将各种燃料的使用量、换用燃料的日期、时间和船舶经纬度、操作人员等信息记录在轮机日志中。</w:t>
      </w:r>
    </w:p>
    <w:p>
      <w:pPr>
        <w:widowControl/>
        <w:spacing w:before="100" w:beforeAutospacing="1" w:after="100" w:afterAutospacing="1"/>
        <w:jc w:val="left"/>
        <w:rPr>
          <w:rFonts w:ascii="SimSun" w:eastAsia="SimSun" w:hAnsi="SimSun" w:cs="SimSun"/>
          <w:color w:val="484848"/>
          <w:kern w:val="0"/>
          <w:sz w:val="18"/>
          <w:szCs w:val="18"/>
        </w:rPr>
      </w:pPr>
      <w:r>
        <w:rPr>
          <w:rFonts w:ascii="SimSun" w:eastAsia="SimSun" w:hAnsi="SimSun" w:cs="SimSun" w:hint="eastAsia"/>
          <w:color w:val="484848"/>
          <w:kern w:val="0"/>
          <w:sz w:val="27"/>
          <w:szCs w:val="27"/>
        </w:rPr>
        <w:lastRenderedPageBreak/>
        <w:t>四、使用尾气后处理装置作为替代措施的船舶，应持有船舶检验机构签发的尾气后处理装置产品证书，并在船舶防止空气污染证书中签注。船舶应将使用尾气后处理装置的起止日期、时间和船舶经纬度、操作人员等信息记录在轮机日志中。</w:t>
      </w:r>
    </w:p>
    <w:p>
      <w:pPr>
        <w:widowControl/>
        <w:spacing w:before="100" w:beforeAutospacing="1" w:after="100" w:afterAutospacing="1"/>
        <w:jc w:val="left"/>
        <w:rPr>
          <w:rFonts w:ascii="SimSun" w:eastAsia="SimSun" w:hAnsi="SimSun" w:cs="SimSun"/>
          <w:color w:val="484848"/>
          <w:kern w:val="0"/>
          <w:sz w:val="18"/>
          <w:szCs w:val="18"/>
        </w:rPr>
      </w:pPr>
      <w:r>
        <w:rPr>
          <w:rFonts w:ascii="SimSun" w:eastAsia="SimSun" w:hAnsi="SimSun" w:cs="SimSun" w:hint="eastAsia"/>
          <w:color w:val="484848"/>
          <w:kern w:val="0"/>
          <w:sz w:val="27"/>
          <w:szCs w:val="27"/>
        </w:rPr>
        <w:t>五、为保障船舶安全或实施海上人命救助，或因船舶及其设备损坏、故障而产生不符合《方案》排放控制要求的，船舶应及时向就近的海事管理机构报告，并将相关信息记录在航海日志中。</w:t>
      </w:r>
    </w:p>
    <w:p>
      <w:pPr>
        <w:widowControl/>
        <w:spacing w:before="100" w:beforeAutospacing="1" w:after="100" w:afterAutospacing="1"/>
        <w:jc w:val="left"/>
        <w:rPr>
          <w:rFonts w:ascii="SimSun" w:eastAsia="SimSun" w:hAnsi="SimSun" w:cs="SimSun"/>
          <w:color w:val="484848"/>
          <w:kern w:val="0"/>
          <w:sz w:val="18"/>
          <w:szCs w:val="18"/>
        </w:rPr>
      </w:pPr>
      <w:r>
        <w:rPr>
          <w:rFonts w:ascii="SimSun" w:eastAsia="SimSun" w:hAnsi="SimSun" w:cs="SimSun" w:hint="eastAsia"/>
          <w:color w:val="484848"/>
          <w:kern w:val="0"/>
          <w:sz w:val="27"/>
          <w:szCs w:val="27"/>
        </w:rPr>
        <w:t>六、各级海事管理机构应当加强对控制区内船舶大气污染防治的监督管理工作，我局制定了《船舶排放控制区监督管理指南》（详见附件）供执法时参考使用，各单位在执行中发现的问题应</w:t>
      </w:r>
    </w:p>
    <w:p>
      <w:pPr>
        <w:widowControl/>
        <w:spacing w:before="100" w:beforeAutospacing="1" w:after="100" w:afterAutospacing="1"/>
        <w:jc w:val="left"/>
        <w:rPr>
          <w:rFonts w:ascii="SimSun" w:eastAsia="SimSun" w:hAnsi="SimSun" w:cs="SimSun"/>
          <w:color w:val="484848"/>
          <w:kern w:val="0"/>
          <w:sz w:val="18"/>
          <w:szCs w:val="18"/>
        </w:rPr>
      </w:pPr>
      <w:r>
        <w:rPr>
          <w:rFonts w:ascii="SimSun" w:eastAsia="SimSun" w:hAnsi="SimSun" w:cs="SimSun" w:hint="eastAsia"/>
          <w:color w:val="484848"/>
          <w:kern w:val="0"/>
          <w:sz w:val="27"/>
          <w:szCs w:val="27"/>
        </w:rPr>
        <w:t>及时报告我局。</w:t>
      </w:r>
    </w:p>
    <w:p>
      <w:pPr>
        <w:widowControl/>
        <w:spacing w:before="100" w:beforeAutospacing="1" w:after="100" w:afterAutospacing="1"/>
        <w:jc w:val="left"/>
        <w:rPr>
          <w:rFonts w:ascii="SimSun" w:eastAsia="SimSun" w:hAnsi="SimSun" w:cs="SimSun"/>
          <w:color w:val="484848"/>
          <w:kern w:val="0"/>
          <w:sz w:val="18"/>
          <w:szCs w:val="18"/>
        </w:rPr>
      </w:pPr>
      <w:r>
        <w:rPr>
          <w:rFonts w:ascii="SimSun" w:eastAsia="SimSun" w:hAnsi="SimSun" w:cs="SimSun" w:hint="eastAsia"/>
          <w:color w:val="484848"/>
          <w:kern w:val="0"/>
          <w:sz w:val="27"/>
          <w:szCs w:val="27"/>
        </w:rPr>
        <w:t> </w:t>
      </w:r>
    </w:p>
    <w:p>
      <w:pPr>
        <w:widowControl/>
        <w:spacing w:before="100" w:beforeAutospacing="1" w:after="100" w:afterAutospacing="1"/>
        <w:jc w:val="left"/>
        <w:rPr>
          <w:rFonts w:ascii="SimSun" w:eastAsia="SimSun" w:hAnsi="SimSun" w:cs="SimSun"/>
          <w:color w:val="484848"/>
          <w:kern w:val="0"/>
          <w:sz w:val="18"/>
          <w:szCs w:val="18"/>
        </w:rPr>
      </w:pPr>
      <w:r>
        <w:rPr>
          <w:rFonts w:ascii="SimSun" w:eastAsia="SimSun" w:hAnsi="SimSun" w:cs="SimSun" w:hint="eastAsia"/>
          <w:color w:val="484848"/>
          <w:kern w:val="0"/>
          <w:sz w:val="27"/>
          <w:szCs w:val="27"/>
        </w:rPr>
        <w:t>附件：船舶排放控制区监督管理指南</w:t>
      </w:r>
    </w:p>
    <w:p>
      <w:pPr>
        <w:widowControl/>
        <w:spacing w:before="100" w:beforeAutospacing="1" w:after="100" w:afterAutospacing="1"/>
        <w:jc w:val="left"/>
        <w:rPr>
          <w:rFonts w:ascii="SimSun" w:eastAsia="SimSun" w:hAnsi="SimSun" w:cs="SimSun"/>
          <w:color w:val="484848"/>
          <w:kern w:val="0"/>
          <w:sz w:val="18"/>
          <w:szCs w:val="18"/>
        </w:rPr>
      </w:pPr>
      <w:r>
        <w:rPr>
          <w:rFonts w:ascii="SimSun" w:eastAsia="SimSun" w:hAnsi="SimSun" w:cs="SimSun" w:hint="eastAsia"/>
          <w:color w:val="484848"/>
          <w:kern w:val="0"/>
          <w:sz w:val="27"/>
          <w:szCs w:val="27"/>
        </w:rPr>
        <w:t> </w:t>
      </w:r>
    </w:p>
    <w:p>
      <w:pPr>
        <w:widowControl/>
        <w:spacing w:before="100" w:beforeAutospacing="1" w:after="100" w:afterAutospacing="1"/>
        <w:jc w:val="left"/>
        <w:rPr>
          <w:rFonts w:ascii="SimSun" w:eastAsia="SimSun" w:hAnsi="SimSun" w:cs="SimSun"/>
          <w:color w:val="484848"/>
          <w:kern w:val="0"/>
          <w:sz w:val="18"/>
          <w:szCs w:val="18"/>
        </w:rPr>
      </w:pPr>
    </w:p>
    <w:p>
      <w:pPr>
        <w:widowControl/>
        <w:spacing w:before="100" w:beforeAutospacing="1" w:after="100" w:afterAutospacing="1"/>
        <w:jc w:val="right"/>
        <w:rPr>
          <w:rFonts w:ascii="SimSun" w:eastAsia="SimSun" w:hAnsi="SimSun" w:cs="SimSun"/>
          <w:color w:val="484848"/>
          <w:kern w:val="0"/>
          <w:sz w:val="18"/>
          <w:szCs w:val="18"/>
        </w:rPr>
      </w:pPr>
      <w:r>
        <w:rPr>
          <w:rFonts w:ascii="SimSun" w:eastAsia="SimSun" w:hAnsi="SimSun" w:cs="SimSun" w:hint="eastAsia"/>
          <w:color w:val="484848"/>
          <w:kern w:val="0"/>
          <w:sz w:val="27"/>
          <w:szCs w:val="27"/>
        </w:rPr>
        <w:t>中华人民共和国海事局</w:t>
      </w:r>
    </w:p>
    <w:p>
      <w:pPr>
        <w:widowControl/>
        <w:spacing w:before="100" w:beforeAutospacing="1" w:after="100" w:afterAutospacing="1"/>
        <w:jc w:val="right"/>
        <w:rPr>
          <w:rFonts w:ascii="SimSun" w:eastAsia="SimSun" w:hAnsi="SimSun" w:cs="SimSun"/>
          <w:color w:val="484848"/>
          <w:kern w:val="0"/>
          <w:sz w:val="18"/>
          <w:szCs w:val="18"/>
        </w:rPr>
      </w:pPr>
      <w:r>
        <w:rPr>
          <w:rFonts w:ascii="SimSun" w:eastAsia="SimSun" w:hAnsi="SimSun" w:cs="SimSun" w:hint="eastAsia"/>
          <w:color w:val="484848"/>
          <w:kern w:val="0"/>
          <w:sz w:val="27"/>
          <w:szCs w:val="27"/>
        </w:rPr>
        <w:t> 2016年1月29日</w:t>
      </w:r>
    </w:p>
    <w:p>
      <w:pPr>
        <w:widowControl/>
        <w:jc w:val="left"/>
        <w:rPr>
          <w:rFonts w:ascii="SimSun" w:eastAsia="SimSun" w:hAnsi="SimSun" w:cs="SimSun"/>
          <w:kern w:val="0"/>
          <w:sz w:val="24"/>
          <w:szCs w:val="24"/>
        </w:rPr>
      </w:pPr>
      <w:r>
        <w:rPr>
          <w:rFonts w:ascii="SimSun" w:eastAsia="SimSun" w:hAnsi="SimSun" w:cs="SimSun" w:hint="eastAsia"/>
          <w:color w:val="484848"/>
          <w:kern w:val="0"/>
          <w:sz w:val="18"/>
          <w:szCs w:val="18"/>
        </w:rPr>
        <w:br w:type="textWrapping" w:clear="all"/>
      </w:r>
    </w:p>
    <w:p>
      <w:pPr>
        <w:widowControl/>
        <w:spacing w:before="100" w:beforeAutospacing="1" w:after="100" w:afterAutospacing="1"/>
        <w:jc w:val="left"/>
        <w:rPr>
          <w:rFonts w:ascii="SimSun" w:eastAsia="SimSun" w:hAnsi="SimSun" w:cs="SimSun"/>
          <w:color w:val="484848"/>
          <w:kern w:val="0"/>
          <w:sz w:val="18"/>
          <w:szCs w:val="18"/>
        </w:rPr>
      </w:pPr>
      <w:r>
        <w:rPr>
          <w:rFonts w:ascii="SimSun" w:eastAsia="SimSun" w:hAnsi="SimSun" w:cs="SimSun" w:hint="eastAsia"/>
          <w:color w:val="484848"/>
          <w:kern w:val="0"/>
          <w:sz w:val="27"/>
          <w:szCs w:val="27"/>
        </w:rPr>
        <w:lastRenderedPageBreak/>
        <w:t>附件</w:t>
      </w:r>
    </w:p>
    <w:p>
      <w:pPr>
        <w:widowControl/>
        <w:spacing w:before="100" w:beforeAutospacing="1" w:after="100" w:afterAutospacing="1"/>
        <w:jc w:val="center"/>
        <w:rPr>
          <w:rFonts w:ascii="SimSun" w:eastAsia="SimSun" w:hAnsi="SimSun" w:cs="SimSun"/>
          <w:color w:val="484848"/>
          <w:kern w:val="0"/>
          <w:sz w:val="18"/>
          <w:szCs w:val="18"/>
        </w:rPr>
      </w:pPr>
      <w:r>
        <w:rPr>
          <w:rFonts w:ascii="SimSun" w:eastAsia="SimSun" w:hAnsi="SimSun" w:cs="SimSun" w:hint="eastAsia"/>
          <w:b/>
          <w:bCs/>
          <w:color w:val="484848"/>
          <w:kern w:val="0"/>
          <w:sz w:val="24"/>
          <w:szCs w:val="24"/>
        </w:rPr>
        <w:t>船舶排放控制区监督管理指南</w:t>
      </w:r>
    </w:p>
    <w:p>
      <w:pPr>
        <w:widowControl/>
        <w:spacing w:before="100" w:beforeAutospacing="1" w:after="100" w:afterAutospacing="1"/>
        <w:jc w:val="left"/>
        <w:outlineLvl w:val="1"/>
        <w:rPr>
          <w:rFonts w:ascii="SimSun" w:eastAsia="SimSun" w:hAnsi="SimSun" w:cs="SimSun"/>
          <w:b/>
          <w:bCs/>
          <w:color w:val="484848"/>
          <w:kern w:val="0"/>
          <w:sz w:val="36"/>
          <w:szCs w:val="36"/>
        </w:rPr>
      </w:pPr>
      <w:r>
        <w:rPr>
          <w:rFonts w:ascii="SimSun" w:eastAsia="SimSun" w:hAnsi="SimSun" w:cs="SimSun" w:hint="eastAsia"/>
          <w:b/>
          <w:bCs/>
          <w:color w:val="484848"/>
          <w:kern w:val="0"/>
          <w:sz w:val="27"/>
          <w:szCs w:val="27"/>
        </w:rPr>
        <w:t>1 总则</w:t>
      </w:r>
    </w:p>
    <w:p>
      <w:pPr>
        <w:widowControl/>
        <w:spacing w:before="100" w:beforeAutospacing="1" w:after="100" w:afterAutospacing="1"/>
        <w:jc w:val="left"/>
        <w:outlineLvl w:val="2"/>
        <w:rPr>
          <w:rFonts w:ascii="SimSun" w:eastAsia="SimSun" w:hAnsi="SimSun" w:cs="SimSun"/>
          <w:b/>
          <w:bCs/>
          <w:color w:val="484848"/>
          <w:kern w:val="0"/>
          <w:sz w:val="27"/>
          <w:szCs w:val="27"/>
        </w:rPr>
      </w:pPr>
      <w:r>
        <w:rPr>
          <w:rFonts w:ascii="SimSun" w:eastAsia="SimSun" w:hAnsi="SimSun" w:cs="SimSun" w:hint="eastAsia"/>
          <w:b/>
          <w:bCs/>
          <w:color w:val="484848"/>
          <w:kern w:val="0"/>
          <w:sz w:val="27"/>
          <w:szCs w:val="27"/>
        </w:rPr>
        <w:t>1.1 目的</w:t>
      </w:r>
    </w:p>
    <w:p>
      <w:pPr>
        <w:widowControl/>
        <w:spacing w:before="100" w:beforeAutospacing="1" w:after="100" w:afterAutospacing="1"/>
        <w:jc w:val="left"/>
        <w:rPr>
          <w:rFonts w:ascii="SimSun" w:eastAsia="SimSun" w:hAnsi="SimSun" w:cs="SimSun"/>
          <w:color w:val="484848"/>
          <w:kern w:val="0"/>
          <w:sz w:val="18"/>
          <w:szCs w:val="18"/>
        </w:rPr>
      </w:pPr>
      <w:r>
        <w:rPr>
          <w:rFonts w:ascii="SimSun" w:eastAsia="SimSun" w:hAnsi="SimSun" w:cs="SimSun" w:hint="eastAsia"/>
          <w:color w:val="484848"/>
          <w:kern w:val="0"/>
          <w:sz w:val="27"/>
          <w:szCs w:val="27"/>
        </w:rPr>
        <w:t>本指南的目的是为保障交通运输部发布的《珠三角、长三角、环渤海（京津冀）水域船舶排放控制区实施方案》（以下简称“《方案》”）的实施，为各级海事管理机构开展控制区内船舶大气污染防治监督管理而提供的指导性文件。</w:t>
      </w:r>
    </w:p>
    <w:p>
      <w:pPr>
        <w:widowControl/>
        <w:spacing w:before="100" w:beforeAutospacing="1" w:after="100" w:afterAutospacing="1"/>
        <w:jc w:val="left"/>
        <w:outlineLvl w:val="2"/>
        <w:rPr>
          <w:rFonts w:ascii="SimSun" w:eastAsia="SimSun" w:hAnsi="SimSun" w:cs="SimSun"/>
          <w:b/>
          <w:bCs/>
          <w:color w:val="484848"/>
          <w:kern w:val="0"/>
          <w:sz w:val="27"/>
          <w:szCs w:val="27"/>
        </w:rPr>
      </w:pPr>
      <w:r>
        <w:rPr>
          <w:rFonts w:ascii="SimSun" w:eastAsia="SimSun" w:hAnsi="SimSun" w:cs="SimSun" w:hint="eastAsia"/>
          <w:b/>
          <w:bCs/>
          <w:color w:val="484848"/>
          <w:kern w:val="0"/>
          <w:sz w:val="27"/>
          <w:szCs w:val="27"/>
        </w:rPr>
        <w:t>1.2 依据</w:t>
      </w:r>
    </w:p>
    <w:p>
      <w:pPr>
        <w:widowControl/>
        <w:spacing w:before="100" w:beforeAutospacing="1" w:after="100" w:afterAutospacing="1"/>
        <w:jc w:val="left"/>
        <w:rPr>
          <w:rFonts w:ascii="SimSun" w:eastAsia="SimSun" w:hAnsi="SimSun" w:cs="SimSun"/>
          <w:color w:val="484848"/>
          <w:kern w:val="0"/>
          <w:sz w:val="18"/>
          <w:szCs w:val="18"/>
        </w:rPr>
      </w:pPr>
      <w:r>
        <w:rPr>
          <w:rFonts w:ascii="SimSun" w:eastAsia="SimSun" w:hAnsi="SimSun" w:cs="SimSun" w:hint="eastAsia"/>
          <w:color w:val="484848"/>
          <w:kern w:val="0"/>
          <w:sz w:val="27"/>
          <w:szCs w:val="27"/>
        </w:rPr>
        <w:t>本指南依据《中华人民共和国大气污染防治法》、《中华人民共和国海洋环境保护法》、《防治船舶污染海洋环境管理条例》、《防治船舶污染内河水域环境管理规定》等法律法规规章进行编制。</w:t>
      </w:r>
    </w:p>
    <w:p>
      <w:pPr>
        <w:widowControl/>
        <w:spacing w:before="100" w:beforeAutospacing="1" w:after="100" w:afterAutospacing="1"/>
        <w:jc w:val="left"/>
        <w:outlineLvl w:val="2"/>
        <w:rPr>
          <w:rFonts w:ascii="SimSun" w:eastAsia="SimSun" w:hAnsi="SimSun" w:cs="SimSun"/>
          <w:b/>
          <w:bCs/>
          <w:color w:val="484848"/>
          <w:kern w:val="0"/>
          <w:sz w:val="27"/>
          <w:szCs w:val="27"/>
        </w:rPr>
      </w:pPr>
      <w:r>
        <w:rPr>
          <w:rFonts w:ascii="SimSun" w:eastAsia="SimSun" w:hAnsi="SimSun" w:cs="SimSun" w:hint="eastAsia"/>
          <w:b/>
          <w:bCs/>
          <w:color w:val="484848"/>
          <w:kern w:val="0"/>
          <w:sz w:val="27"/>
          <w:szCs w:val="27"/>
        </w:rPr>
        <w:t>1.3 适用对象</w:t>
      </w:r>
    </w:p>
    <w:p>
      <w:pPr>
        <w:widowControl/>
        <w:spacing w:before="100" w:beforeAutospacing="1" w:after="100" w:afterAutospacing="1"/>
        <w:jc w:val="left"/>
        <w:rPr>
          <w:rFonts w:ascii="SimSun" w:eastAsia="SimSun" w:hAnsi="SimSun" w:cs="SimSun"/>
          <w:color w:val="484848"/>
          <w:kern w:val="0"/>
          <w:sz w:val="18"/>
          <w:szCs w:val="18"/>
        </w:rPr>
      </w:pPr>
      <w:r>
        <w:rPr>
          <w:rFonts w:ascii="SimSun" w:eastAsia="SimSun" w:hAnsi="SimSun" w:cs="SimSun" w:hint="eastAsia"/>
          <w:color w:val="484848"/>
          <w:kern w:val="0"/>
          <w:sz w:val="27"/>
          <w:szCs w:val="27"/>
        </w:rPr>
        <w:t>本指南适用于在排放控制区内航行、停泊、作业的船舶，军用船舶、体育运动船艇和渔业船舶除外。</w:t>
      </w:r>
    </w:p>
    <w:p>
      <w:pPr>
        <w:widowControl/>
        <w:spacing w:before="100" w:beforeAutospacing="1" w:after="100" w:afterAutospacing="1"/>
        <w:jc w:val="left"/>
        <w:outlineLvl w:val="1"/>
        <w:rPr>
          <w:rFonts w:ascii="SimSun" w:eastAsia="SimSun" w:hAnsi="SimSun" w:cs="SimSun"/>
          <w:b/>
          <w:bCs/>
          <w:color w:val="484848"/>
          <w:kern w:val="0"/>
          <w:sz w:val="36"/>
          <w:szCs w:val="36"/>
        </w:rPr>
      </w:pPr>
      <w:r>
        <w:rPr>
          <w:rFonts w:ascii="SimSun" w:eastAsia="SimSun" w:hAnsi="SimSun" w:cs="SimSun" w:hint="eastAsia"/>
          <w:b/>
          <w:bCs/>
          <w:color w:val="484848"/>
          <w:kern w:val="0"/>
          <w:sz w:val="27"/>
          <w:szCs w:val="27"/>
        </w:rPr>
        <w:t>2 船舶换用低硫燃油的检查要求</w:t>
      </w:r>
    </w:p>
    <w:p>
      <w:pPr>
        <w:widowControl/>
        <w:spacing w:before="100" w:beforeAutospacing="1" w:after="100" w:afterAutospacing="1"/>
        <w:jc w:val="left"/>
        <w:outlineLvl w:val="2"/>
        <w:rPr>
          <w:rFonts w:ascii="SimSun" w:eastAsia="SimSun" w:hAnsi="SimSun" w:cs="SimSun"/>
          <w:b/>
          <w:bCs/>
          <w:color w:val="484848"/>
          <w:kern w:val="0"/>
          <w:sz w:val="27"/>
          <w:szCs w:val="27"/>
        </w:rPr>
      </w:pPr>
      <w:r>
        <w:rPr>
          <w:rFonts w:ascii="SimSun" w:eastAsia="SimSun" w:hAnsi="SimSun" w:cs="SimSun" w:hint="eastAsia"/>
          <w:b/>
          <w:bCs/>
          <w:color w:val="484848"/>
          <w:kern w:val="0"/>
          <w:sz w:val="27"/>
          <w:szCs w:val="27"/>
        </w:rPr>
        <w:t>2.1 文书检查</w:t>
      </w:r>
    </w:p>
    <w:p>
      <w:pPr>
        <w:widowControl/>
        <w:spacing w:before="100" w:beforeAutospacing="1" w:after="100" w:afterAutospacing="1"/>
        <w:jc w:val="left"/>
        <w:rPr>
          <w:rFonts w:ascii="SimSun" w:eastAsia="SimSun" w:hAnsi="SimSun" w:cs="SimSun"/>
          <w:color w:val="484848"/>
          <w:kern w:val="0"/>
          <w:sz w:val="18"/>
          <w:szCs w:val="18"/>
        </w:rPr>
      </w:pPr>
      <w:r>
        <w:rPr>
          <w:rFonts w:ascii="SimSun" w:eastAsia="SimSun" w:hAnsi="SimSun" w:cs="SimSun" w:hint="eastAsia"/>
          <w:color w:val="484848"/>
          <w:kern w:val="0"/>
          <w:sz w:val="27"/>
          <w:szCs w:val="27"/>
        </w:rPr>
        <w:t>海事管理机构应结合现场监督和安全检查工作，对船舶的轮机日志、燃油供受单证等材料进行检查。具体检查内容如下：</w:t>
      </w:r>
    </w:p>
    <w:p>
      <w:pPr>
        <w:widowControl/>
        <w:spacing w:before="100" w:beforeAutospacing="1" w:after="100" w:afterAutospacing="1"/>
        <w:jc w:val="left"/>
        <w:rPr>
          <w:rFonts w:ascii="SimSun" w:eastAsia="SimSun" w:hAnsi="SimSun" w:cs="SimSun"/>
          <w:color w:val="484848"/>
          <w:kern w:val="0"/>
          <w:sz w:val="18"/>
          <w:szCs w:val="18"/>
        </w:rPr>
      </w:pPr>
      <w:r>
        <w:rPr>
          <w:rFonts w:ascii="SimSun" w:eastAsia="SimSun" w:hAnsi="SimSun" w:cs="SimSun" w:hint="eastAsia"/>
          <w:color w:val="484848"/>
          <w:kern w:val="0"/>
          <w:sz w:val="27"/>
          <w:szCs w:val="27"/>
        </w:rPr>
        <w:t>   （1）轮机日志：核查船舶换油起止日期、时间和船舶经纬度等信息记录是否完整规范；核查换油起止船舶位置、燃油含硫量及低硫燃油使用量是否满足控制区要求；核查每一燃油舱中燃油的存量记录是否完整规范。</w:t>
      </w:r>
    </w:p>
    <w:p>
      <w:pPr>
        <w:widowControl/>
        <w:spacing w:before="100" w:beforeAutospacing="1" w:after="100" w:afterAutospacing="1"/>
        <w:jc w:val="left"/>
        <w:rPr>
          <w:rFonts w:ascii="SimSun" w:eastAsia="SimSun" w:hAnsi="SimSun" w:cs="SimSun"/>
          <w:color w:val="484848"/>
          <w:kern w:val="0"/>
          <w:sz w:val="18"/>
          <w:szCs w:val="18"/>
        </w:rPr>
      </w:pPr>
      <w:r>
        <w:rPr>
          <w:rFonts w:ascii="SimSun" w:eastAsia="SimSun" w:hAnsi="SimSun" w:cs="SimSun" w:hint="eastAsia"/>
          <w:color w:val="484848"/>
          <w:kern w:val="0"/>
          <w:sz w:val="27"/>
          <w:szCs w:val="27"/>
        </w:rPr>
        <w:t>   （2）燃油供受单证：核查是否持有燃油供受单证，单证记录的燃油是否符合要求。</w:t>
      </w:r>
    </w:p>
    <w:p>
      <w:pPr>
        <w:widowControl/>
        <w:spacing w:before="100" w:beforeAutospacing="1" w:after="100" w:afterAutospacing="1"/>
        <w:jc w:val="left"/>
        <w:rPr>
          <w:rFonts w:ascii="SimSun" w:eastAsia="SimSun" w:hAnsi="SimSun" w:cs="SimSun"/>
          <w:color w:val="484848"/>
          <w:kern w:val="0"/>
          <w:sz w:val="18"/>
          <w:szCs w:val="18"/>
        </w:rPr>
      </w:pPr>
      <w:r>
        <w:rPr>
          <w:rFonts w:ascii="SimSun" w:eastAsia="SimSun" w:hAnsi="SimSun" w:cs="SimSun" w:hint="eastAsia"/>
          <w:color w:val="484848"/>
          <w:kern w:val="0"/>
          <w:sz w:val="27"/>
          <w:szCs w:val="27"/>
        </w:rPr>
        <w:t>   （3）燃油转换程序：核查是否持有书面燃油转换程序，该程序是否符合船舶安全管理体系要求，燃油转换操作记录是否规范完整。</w:t>
      </w:r>
    </w:p>
    <w:p>
      <w:pPr>
        <w:widowControl/>
        <w:spacing w:before="100" w:beforeAutospacing="1" w:after="100" w:afterAutospacing="1"/>
        <w:jc w:val="left"/>
        <w:outlineLvl w:val="2"/>
        <w:rPr>
          <w:rFonts w:ascii="SimSun" w:eastAsia="SimSun" w:hAnsi="SimSun" w:cs="SimSun"/>
          <w:b/>
          <w:bCs/>
          <w:color w:val="484848"/>
          <w:kern w:val="0"/>
          <w:sz w:val="27"/>
          <w:szCs w:val="27"/>
        </w:rPr>
      </w:pPr>
      <w:r>
        <w:rPr>
          <w:rFonts w:ascii="SimSun" w:eastAsia="SimSun" w:hAnsi="SimSun" w:cs="SimSun" w:hint="eastAsia"/>
          <w:b/>
          <w:bCs/>
          <w:color w:val="484848"/>
          <w:kern w:val="0"/>
          <w:sz w:val="27"/>
          <w:szCs w:val="27"/>
        </w:rPr>
        <w:t>2.2 燃油检查</w:t>
      </w:r>
    </w:p>
    <w:p>
      <w:pPr>
        <w:widowControl/>
        <w:spacing w:before="100" w:beforeAutospacing="1" w:after="100" w:afterAutospacing="1"/>
        <w:jc w:val="left"/>
        <w:rPr>
          <w:rFonts w:ascii="SimSun" w:eastAsia="SimSun" w:hAnsi="SimSun" w:cs="SimSun"/>
          <w:color w:val="484848"/>
          <w:kern w:val="0"/>
          <w:sz w:val="18"/>
          <w:szCs w:val="18"/>
        </w:rPr>
      </w:pPr>
      <w:r>
        <w:rPr>
          <w:rFonts w:ascii="SimSun" w:eastAsia="SimSun" w:hAnsi="SimSun" w:cs="SimSun" w:hint="eastAsia"/>
          <w:color w:val="484848"/>
          <w:kern w:val="0"/>
          <w:sz w:val="27"/>
          <w:szCs w:val="27"/>
        </w:rPr>
        <w:t>   （1）对于文书检查不合格、有违规记录，或者经监测存在违规嫌疑的船舶，海事管理机构应进行船舶燃油检测。</w:t>
      </w:r>
    </w:p>
    <w:p>
      <w:pPr>
        <w:widowControl/>
        <w:spacing w:before="100" w:beforeAutospacing="1" w:after="100" w:afterAutospacing="1"/>
        <w:jc w:val="left"/>
        <w:rPr>
          <w:rFonts w:ascii="SimSun" w:eastAsia="SimSun" w:hAnsi="SimSun" w:cs="SimSun"/>
          <w:color w:val="484848"/>
          <w:kern w:val="0"/>
          <w:sz w:val="18"/>
          <w:szCs w:val="18"/>
        </w:rPr>
      </w:pPr>
      <w:r>
        <w:rPr>
          <w:rFonts w:ascii="SimSun" w:eastAsia="SimSun" w:hAnsi="SimSun" w:cs="SimSun" w:hint="eastAsia"/>
          <w:color w:val="484848"/>
          <w:kern w:val="0"/>
          <w:sz w:val="27"/>
          <w:szCs w:val="27"/>
        </w:rPr>
        <w:t>   （2）对于文书检查合格、无违规记录且无违规嫌疑的船舶，海事管理机构可进行船舶燃油抽检。</w:t>
      </w:r>
    </w:p>
    <w:p>
      <w:pPr>
        <w:widowControl/>
        <w:spacing w:before="100" w:beforeAutospacing="1" w:after="100" w:afterAutospacing="1"/>
        <w:jc w:val="left"/>
        <w:rPr>
          <w:rFonts w:ascii="SimSun" w:eastAsia="SimSun" w:hAnsi="SimSun" w:cs="SimSun"/>
          <w:color w:val="484848"/>
          <w:kern w:val="0"/>
          <w:sz w:val="18"/>
          <w:szCs w:val="18"/>
        </w:rPr>
      </w:pPr>
      <w:r>
        <w:rPr>
          <w:rFonts w:ascii="SimSun" w:eastAsia="SimSun" w:hAnsi="SimSun" w:cs="SimSun" w:hint="eastAsia"/>
          <w:color w:val="484848"/>
          <w:kern w:val="0"/>
          <w:sz w:val="27"/>
          <w:szCs w:val="27"/>
        </w:rPr>
        <w:t>   （3）对于需要进行燃油样品检查的船舶，海事管理机构应安排执法人员上船进行燃油样品取样，并送至具备国家规定资质的检测单位进行检测，由检测单位出具检测结果。</w:t>
      </w:r>
    </w:p>
    <w:p>
      <w:pPr>
        <w:widowControl/>
        <w:spacing w:before="100" w:beforeAutospacing="1" w:after="100" w:afterAutospacing="1"/>
        <w:ind w:left="212"/>
        <w:jc w:val="left"/>
        <w:rPr>
          <w:rFonts w:ascii="SimSun" w:eastAsia="SimSun" w:hAnsi="SimSun" w:cs="SimSun"/>
          <w:color w:val="484848"/>
          <w:kern w:val="0"/>
          <w:sz w:val="18"/>
          <w:szCs w:val="18"/>
        </w:rPr>
      </w:pPr>
      <w:r>
        <w:rPr>
          <w:rFonts w:ascii="SimSun" w:eastAsia="SimSun" w:hAnsi="SimSun" w:cs="SimSun" w:hint="eastAsia"/>
          <w:color w:val="484848"/>
          <w:kern w:val="0"/>
          <w:sz w:val="27"/>
          <w:szCs w:val="27"/>
        </w:rPr>
        <w:t>a）取样：执法人员可参照《MARPOL公约》附则VI中规定的燃油取样指南（MEPC.96(47)号决议），结合实际情况，从被检测船舶管路中取样，或使用船舶燃油样品。如从管路中进行取样，样品份数为至少3份，每份样品量不少于400ml。</w:t>
      </w:r>
    </w:p>
    <w:p>
      <w:pPr>
        <w:widowControl/>
        <w:spacing w:before="100" w:beforeAutospacing="1" w:after="100" w:afterAutospacing="1"/>
        <w:ind w:left="212"/>
        <w:jc w:val="left"/>
        <w:rPr>
          <w:rFonts w:ascii="SimSun" w:eastAsia="SimSun" w:hAnsi="SimSun" w:cs="SimSun"/>
          <w:color w:val="484848"/>
          <w:kern w:val="0"/>
          <w:sz w:val="18"/>
          <w:szCs w:val="18"/>
        </w:rPr>
      </w:pPr>
      <w:r>
        <w:rPr>
          <w:rFonts w:ascii="SimSun" w:eastAsia="SimSun" w:hAnsi="SimSun" w:cs="SimSun" w:hint="eastAsia"/>
          <w:color w:val="484848"/>
          <w:kern w:val="0"/>
          <w:sz w:val="27"/>
          <w:szCs w:val="27"/>
        </w:rPr>
        <w:t>b）送检：海事执法人员应在取样后2个工作日内将样品送至燃油检测单位，燃油检测单位按照《MARPOL公约》附则VI中的附录VI规定的验证程序，以及现行有效的国家标准明确的检测方法进行样品检测。如果不能立即送往燃油检测单位，应将样品封存在低温、遮光和安全的地方。</w:t>
      </w:r>
    </w:p>
    <w:p>
      <w:pPr>
        <w:widowControl/>
        <w:spacing w:before="100" w:beforeAutospacing="1" w:after="100" w:afterAutospacing="1"/>
        <w:ind w:left="212"/>
        <w:jc w:val="left"/>
        <w:rPr>
          <w:rFonts w:ascii="SimSun" w:eastAsia="SimSun" w:hAnsi="SimSun" w:cs="SimSun"/>
          <w:color w:val="484848"/>
          <w:kern w:val="0"/>
          <w:sz w:val="18"/>
          <w:szCs w:val="18"/>
        </w:rPr>
      </w:pPr>
      <w:r>
        <w:rPr>
          <w:rFonts w:ascii="SimSun" w:eastAsia="SimSun" w:hAnsi="SimSun" w:cs="SimSun" w:hint="eastAsia"/>
          <w:color w:val="484848"/>
          <w:kern w:val="0"/>
          <w:sz w:val="27"/>
          <w:szCs w:val="27"/>
        </w:rPr>
        <w:t>c）检测报告：检测报告应当给出油品的含硫量，也可同时给出其它影响安全和环境保护的油品指标值，并与《船用燃料油》等国家标准中列明的数值进行比较。</w:t>
      </w:r>
    </w:p>
    <w:p>
      <w:pPr>
        <w:widowControl/>
        <w:spacing w:before="100" w:beforeAutospacing="1" w:after="100" w:afterAutospacing="1"/>
        <w:ind w:left="212"/>
        <w:jc w:val="left"/>
        <w:rPr>
          <w:rFonts w:ascii="SimSun" w:eastAsia="SimSun" w:hAnsi="SimSun" w:cs="SimSun"/>
          <w:color w:val="484848"/>
          <w:kern w:val="0"/>
          <w:sz w:val="18"/>
          <w:szCs w:val="18"/>
        </w:rPr>
      </w:pPr>
      <w:r>
        <w:rPr>
          <w:rFonts w:ascii="SimSun" w:eastAsia="SimSun" w:hAnsi="SimSun" w:cs="SimSun" w:hint="eastAsia"/>
          <w:color w:val="484848"/>
          <w:kern w:val="0"/>
          <w:sz w:val="27"/>
          <w:szCs w:val="27"/>
        </w:rPr>
        <w:t>d）核查：海事执法人员应在接到检测报告后，确认船舶燃油是否满足《方案》要求。</w:t>
      </w:r>
    </w:p>
    <w:p>
      <w:pPr>
        <w:widowControl/>
        <w:spacing w:before="100" w:beforeAutospacing="1" w:after="100" w:afterAutospacing="1"/>
        <w:jc w:val="left"/>
        <w:rPr>
          <w:rFonts w:ascii="SimSun" w:eastAsia="SimSun" w:hAnsi="SimSun" w:cs="SimSun"/>
          <w:color w:val="484848"/>
          <w:kern w:val="0"/>
          <w:sz w:val="18"/>
          <w:szCs w:val="18"/>
        </w:rPr>
      </w:pPr>
      <w:r>
        <w:rPr>
          <w:rFonts w:ascii="SimSun" w:eastAsia="SimSun" w:hAnsi="SimSun" w:cs="SimSun" w:hint="eastAsia"/>
          <w:b/>
          <w:bCs/>
          <w:color w:val="484848"/>
          <w:kern w:val="0"/>
          <w:sz w:val="24"/>
          <w:szCs w:val="24"/>
        </w:rPr>
        <w:t>2.3</w:t>
      </w:r>
      <w:r>
        <w:rPr>
          <w:rFonts w:ascii="SimSun" w:eastAsia="SimSun" w:hAnsi="SimSun" w:cs="SimSun" w:hint="eastAsia"/>
          <w:b/>
          <w:bCs/>
          <w:color w:val="484848"/>
          <w:kern w:val="0"/>
          <w:sz w:val="27"/>
          <w:szCs w:val="27"/>
        </w:rPr>
        <w:t> </w:t>
      </w:r>
      <w:r>
        <w:rPr>
          <w:rFonts w:ascii="SimSun" w:eastAsia="SimSun" w:hAnsi="SimSun" w:cs="SimSun" w:hint="eastAsia"/>
          <w:b/>
          <w:bCs/>
          <w:color w:val="484848"/>
          <w:kern w:val="0"/>
          <w:sz w:val="24"/>
          <w:szCs w:val="24"/>
        </w:rPr>
        <w:t>处理</w:t>
      </w:r>
    </w:p>
    <w:p>
      <w:pPr>
        <w:widowControl/>
        <w:spacing w:before="100" w:beforeAutospacing="1" w:after="100" w:afterAutospacing="1"/>
        <w:jc w:val="left"/>
        <w:rPr>
          <w:rFonts w:ascii="SimSun" w:eastAsia="SimSun" w:hAnsi="SimSun" w:cs="SimSun"/>
          <w:color w:val="484848"/>
          <w:kern w:val="0"/>
          <w:sz w:val="18"/>
          <w:szCs w:val="18"/>
        </w:rPr>
      </w:pPr>
      <w:r>
        <w:rPr>
          <w:rFonts w:ascii="SimSun" w:eastAsia="SimSun" w:hAnsi="SimSun" w:cs="SimSun" w:hint="eastAsia"/>
          <w:color w:val="484848"/>
          <w:kern w:val="0"/>
          <w:sz w:val="27"/>
          <w:szCs w:val="27"/>
        </w:rPr>
        <w:t>   （1）使用不符合标准或者要求燃油的船舶，应当根据违法情节，依据法律法规或国际公约相关规定，按照下列一种或者几种方式进行处理：</w:t>
      </w:r>
    </w:p>
    <w:p>
      <w:pPr>
        <w:widowControl/>
        <w:spacing w:before="100" w:beforeAutospacing="1" w:after="100" w:afterAutospacing="1"/>
        <w:jc w:val="left"/>
        <w:rPr>
          <w:rFonts w:ascii="SimSun" w:eastAsia="SimSun" w:hAnsi="SimSun" w:cs="SimSun"/>
          <w:color w:val="484848"/>
          <w:kern w:val="0"/>
          <w:sz w:val="18"/>
          <w:szCs w:val="18"/>
        </w:rPr>
      </w:pPr>
      <w:r>
        <w:rPr>
          <w:rFonts w:ascii="SimSun" w:eastAsia="SimSun" w:hAnsi="SimSun" w:cs="SimSun" w:hint="eastAsia"/>
          <w:color w:val="484848"/>
          <w:kern w:val="0"/>
          <w:sz w:val="27"/>
          <w:szCs w:val="27"/>
        </w:rPr>
        <w:t>a）警示教育；</w:t>
      </w:r>
    </w:p>
    <w:p>
      <w:pPr>
        <w:widowControl/>
        <w:spacing w:before="100" w:beforeAutospacing="1" w:after="100" w:afterAutospacing="1"/>
        <w:jc w:val="left"/>
        <w:rPr>
          <w:rFonts w:ascii="SimSun" w:eastAsia="SimSun" w:hAnsi="SimSun" w:cs="SimSun"/>
          <w:color w:val="484848"/>
          <w:kern w:val="0"/>
          <w:sz w:val="18"/>
          <w:szCs w:val="18"/>
        </w:rPr>
      </w:pPr>
      <w:r>
        <w:rPr>
          <w:rFonts w:ascii="SimSun" w:eastAsia="SimSun" w:hAnsi="SimSun" w:cs="SimSun" w:hint="eastAsia"/>
          <w:color w:val="484848"/>
          <w:kern w:val="0"/>
          <w:sz w:val="27"/>
          <w:szCs w:val="27"/>
        </w:rPr>
        <w:t>b）纠正违规行为；</w:t>
      </w:r>
    </w:p>
    <w:p>
      <w:pPr>
        <w:widowControl/>
        <w:spacing w:before="100" w:beforeAutospacing="1" w:after="100" w:afterAutospacing="1"/>
        <w:jc w:val="left"/>
        <w:rPr>
          <w:rFonts w:ascii="SimSun" w:eastAsia="SimSun" w:hAnsi="SimSun" w:cs="SimSun"/>
          <w:color w:val="484848"/>
          <w:kern w:val="0"/>
          <w:sz w:val="18"/>
          <w:szCs w:val="18"/>
        </w:rPr>
      </w:pPr>
      <w:r>
        <w:rPr>
          <w:rFonts w:ascii="SimSun" w:eastAsia="SimSun" w:hAnsi="SimSun" w:cs="SimSun" w:hint="eastAsia"/>
          <w:color w:val="484848"/>
          <w:kern w:val="0"/>
          <w:sz w:val="27"/>
          <w:szCs w:val="27"/>
        </w:rPr>
        <w:t>c）滞留；</w:t>
      </w:r>
    </w:p>
    <w:p>
      <w:pPr>
        <w:widowControl/>
        <w:spacing w:before="100" w:beforeAutospacing="1" w:after="100" w:afterAutospacing="1"/>
        <w:jc w:val="left"/>
        <w:rPr>
          <w:rFonts w:ascii="SimSun" w:eastAsia="SimSun" w:hAnsi="SimSun" w:cs="SimSun"/>
          <w:color w:val="484848"/>
          <w:kern w:val="0"/>
          <w:sz w:val="18"/>
          <w:szCs w:val="18"/>
        </w:rPr>
      </w:pPr>
      <w:r>
        <w:rPr>
          <w:rFonts w:ascii="SimSun" w:eastAsia="SimSun" w:hAnsi="SimSun" w:cs="SimSun" w:hint="eastAsia"/>
          <w:color w:val="484848"/>
          <w:kern w:val="0"/>
          <w:sz w:val="27"/>
          <w:szCs w:val="27"/>
        </w:rPr>
        <w:t>    d）依据《中华人民共和国大气污染防治法》第一百零六条进行处罚。若船舶已离港，当地海事管理机构可通报下一港海事管理机构协助调查。</w:t>
      </w:r>
    </w:p>
    <w:p>
      <w:pPr>
        <w:widowControl/>
        <w:spacing w:before="100" w:beforeAutospacing="1" w:after="100" w:afterAutospacing="1"/>
        <w:jc w:val="left"/>
        <w:rPr>
          <w:rFonts w:ascii="SimSun" w:eastAsia="SimSun" w:hAnsi="SimSun" w:cs="SimSun"/>
          <w:color w:val="484848"/>
          <w:kern w:val="0"/>
          <w:sz w:val="18"/>
          <w:szCs w:val="18"/>
        </w:rPr>
      </w:pPr>
      <w:r>
        <w:rPr>
          <w:rFonts w:ascii="SimSun" w:eastAsia="SimSun" w:hAnsi="SimSun" w:cs="SimSun" w:hint="eastAsia"/>
          <w:color w:val="484848"/>
          <w:kern w:val="0"/>
          <w:sz w:val="27"/>
          <w:szCs w:val="27"/>
        </w:rPr>
        <w:t>   （2）船舶燃油供给单位未如实填写燃油供受单证的，或未按照规定向船舶提供燃油供受单证和燃油样品的，按照《防治船舶污染海洋环境管理条例》第六十三条进行处罚；</w:t>
      </w:r>
    </w:p>
    <w:p>
      <w:pPr>
        <w:widowControl/>
        <w:spacing w:before="100" w:beforeAutospacing="1" w:after="100" w:afterAutospacing="1"/>
        <w:jc w:val="left"/>
        <w:rPr>
          <w:rFonts w:ascii="SimSun" w:eastAsia="SimSun" w:hAnsi="SimSun" w:cs="SimSun"/>
          <w:color w:val="484848"/>
          <w:kern w:val="0"/>
          <w:sz w:val="18"/>
          <w:szCs w:val="18"/>
        </w:rPr>
      </w:pPr>
      <w:r>
        <w:rPr>
          <w:rFonts w:ascii="SimSun" w:eastAsia="SimSun" w:hAnsi="SimSun" w:cs="SimSun" w:hint="eastAsia"/>
          <w:color w:val="484848"/>
          <w:kern w:val="0"/>
          <w:sz w:val="27"/>
          <w:szCs w:val="27"/>
        </w:rPr>
        <w:t>   （3）船舶和船舶燃油供给单位未按照规定保存燃油供受单证和燃油样品的，按照《防治船舶污染海洋环境管理条例》第六十三条进行处罚。</w:t>
      </w:r>
    </w:p>
    <w:p>
      <w:pPr>
        <w:widowControl/>
        <w:spacing w:before="100" w:beforeAutospacing="1" w:after="100" w:afterAutospacing="1"/>
        <w:jc w:val="left"/>
        <w:outlineLvl w:val="1"/>
        <w:rPr>
          <w:rFonts w:ascii="SimSun" w:eastAsia="SimSun" w:hAnsi="SimSun" w:cs="SimSun"/>
          <w:b/>
          <w:bCs/>
          <w:color w:val="484848"/>
          <w:kern w:val="0"/>
          <w:sz w:val="36"/>
          <w:szCs w:val="36"/>
        </w:rPr>
      </w:pPr>
      <w:r>
        <w:rPr>
          <w:rFonts w:ascii="SimSun" w:eastAsia="SimSun" w:hAnsi="SimSun" w:cs="SimSun" w:hint="eastAsia"/>
          <w:b/>
          <w:bCs/>
          <w:color w:val="484848"/>
          <w:kern w:val="0"/>
          <w:sz w:val="27"/>
          <w:szCs w:val="27"/>
        </w:rPr>
        <w:t>3 替代措施的检查要求</w:t>
      </w:r>
    </w:p>
    <w:p>
      <w:pPr>
        <w:widowControl/>
        <w:spacing w:before="100" w:beforeAutospacing="1" w:after="100" w:afterAutospacing="1"/>
        <w:jc w:val="left"/>
        <w:outlineLvl w:val="2"/>
        <w:rPr>
          <w:rFonts w:ascii="SimSun" w:eastAsia="SimSun" w:hAnsi="SimSun" w:cs="SimSun"/>
          <w:b/>
          <w:bCs/>
          <w:color w:val="484848"/>
          <w:kern w:val="0"/>
          <w:sz w:val="27"/>
          <w:szCs w:val="27"/>
        </w:rPr>
      </w:pPr>
      <w:r>
        <w:rPr>
          <w:rFonts w:ascii="SimSun" w:eastAsia="SimSun" w:hAnsi="SimSun" w:cs="SimSun" w:hint="eastAsia"/>
          <w:b/>
          <w:bCs/>
          <w:color w:val="484848"/>
          <w:kern w:val="0"/>
          <w:sz w:val="27"/>
          <w:szCs w:val="27"/>
        </w:rPr>
        <w:t>3.1 文书检查</w:t>
      </w:r>
    </w:p>
    <w:p>
      <w:pPr>
        <w:widowControl/>
        <w:spacing w:before="100" w:beforeAutospacing="1" w:after="100" w:afterAutospacing="1"/>
        <w:ind w:left="212"/>
        <w:jc w:val="left"/>
        <w:rPr>
          <w:rFonts w:ascii="SimSun" w:eastAsia="SimSun" w:hAnsi="SimSun" w:cs="SimSun"/>
          <w:color w:val="484848"/>
          <w:kern w:val="0"/>
          <w:sz w:val="18"/>
          <w:szCs w:val="18"/>
        </w:rPr>
      </w:pPr>
      <w:r>
        <w:rPr>
          <w:rFonts w:ascii="SimSun" w:eastAsia="SimSun" w:hAnsi="SimSun" w:cs="SimSun" w:hint="eastAsia"/>
          <w:color w:val="484848"/>
          <w:kern w:val="0"/>
          <w:sz w:val="27"/>
          <w:szCs w:val="27"/>
        </w:rPr>
        <w:t>海事管理机构应结合现场监督和安全检查工作，对船舶文书进行检查，具体检查内容如下：</w:t>
      </w:r>
    </w:p>
    <w:p>
      <w:pPr>
        <w:widowControl/>
        <w:numPr>
          <w:ilvl w:val="0"/>
          <w:numId w:val="2"/>
        </w:numPr>
        <w:spacing w:before="100" w:beforeAutospacing="1" w:after="100" w:afterAutospacing="1"/>
        <w:jc w:val="left"/>
        <w:rPr>
          <w:rFonts w:ascii="SimSun" w:eastAsia="SimSun" w:hAnsi="SimSun" w:cs="SimSun"/>
          <w:color w:val="484848"/>
          <w:kern w:val="0"/>
          <w:sz w:val="18"/>
          <w:szCs w:val="18"/>
        </w:rPr>
      </w:pPr>
      <w:r>
        <w:rPr>
          <w:rFonts w:ascii="SimSun" w:eastAsia="SimSun" w:hAnsi="SimSun" w:cs="SimSun" w:hint="eastAsia"/>
          <w:color w:val="484848"/>
          <w:kern w:val="0"/>
          <w:sz w:val="27"/>
          <w:szCs w:val="27"/>
        </w:rPr>
        <w:t>对于使用岸电的船舶，应核查船舶轮机日志中的岸电使用起止时间记录是否完整规范；确定岸电使用起止时间是否满足控制区要求；确认船舶是否具备使用岸电的条件等。</w:t>
      </w:r>
    </w:p>
    <w:p>
      <w:pPr>
        <w:widowControl/>
        <w:numPr>
          <w:ilvl w:val="0"/>
          <w:numId w:val="2"/>
        </w:numPr>
        <w:spacing w:before="100" w:beforeAutospacing="1" w:after="100" w:afterAutospacing="1"/>
        <w:jc w:val="left"/>
        <w:rPr>
          <w:rFonts w:ascii="SimSun" w:eastAsia="SimSun" w:hAnsi="SimSun" w:cs="SimSun"/>
          <w:color w:val="484848"/>
          <w:kern w:val="0"/>
          <w:sz w:val="18"/>
          <w:szCs w:val="18"/>
        </w:rPr>
      </w:pPr>
      <w:r>
        <w:rPr>
          <w:rFonts w:ascii="SimSun" w:eastAsia="SimSun" w:hAnsi="SimSun" w:cs="SimSun" w:hint="eastAsia"/>
          <w:color w:val="484848"/>
          <w:kern w:val="0"/>
          <w:sz w:val="27"/>
          <w:szCs w:val="27"/>
        </w:rPr>
        <w:t>对于使用清洁能源的船舶，应核查船舶防止空气污染证书是否备注该船舶使用清洁能源。其中，对于双燃料动力船舶，应核查换用燃料时间记录是否完整规范；核查换用燃料时的船舶经纬度记录是否完整规范；确定换用燃料时的船舶位置是否满足控制区要求；核查清洁能源和燃油的使用量记录是否完整规范等。</w:t>
      </w:r>
    </w:p>
    <w:p>
      <w:pPr>
        <w:widowControl/>
        <w:spacing w:before="100" w:beforeAutospacing="1" w:after="100" w:afterAutospacing="1"/>
        <w:jc w:val="left"/>
        <w:rPr>
          <w:color w:val="484848"/>
          <w:sz w:val="18"/>
          <w:szCs w:val="18"/>
        </w:rPr>
      </w:pPr>
      <w:r>
        <w:rPr>
          <w:rFonts w:ascii="SimSun" w:eastAsia="SimSun" w:hAnsi="SimSun" w:cs="SimSun" w:hint="eastAsia"/>
          <w:color w:val="484848"/>
          <w:kern w:val="0"/>
          <w:sz w:val="27"/>
          <w:szCs w:val="27"/>
        </w:rPr>
        <w:t> </w:t>
      </w:r>
      <w:r>
        <w:rPr>
          <w:rFonts w:hint="eastAsia"/>
          <w:color w:val="484848"/>
          <w:sz w:val="27"/>
          <w:szCs w:val="27"/>
        </w:rPr>
        <w:t xml:space="preserve">    </w:t>
      </w:r>
      <w:r>
        <w:rPr>
          <w:rFonts w:hint="eastAsia"/>
          <w:color w:val="484848"/>
          <w:sz w:val="27"/>
          <w:szCs w:val="27"/>
        </w:rPr>
        <w:t>（</w:t>
      </w:r>
      <w:r>
        <w:rPr>
          <w:rFonts w:hint="eastAsia"/>
          <w:color w:val="484848"/>
          <w:sz w:val="27"/>
          <w:szCs w:val="27"/>
        </w:rPr>
        <w:t>3</w:t>
      </w:r>
      <w:r>
        <w:rPr>
          <w:rFonts w:hint="eastAsia"/>
          <w:color w:val="484848"/>
          <w:sz w:val="27"/>
          <w:szCs w:val="27"/>
        </w:rPr>
        <w:t>）对于加装尾气后处理装置的船舶，应对核查船舶轮机日志中尾气后处理装置使用起止时间记录是否完整规范；装置使用起止时的船舶经纬度记录是否完整规范；确认装置使用起止时船舶位置是否满足控制区要求；核查是否持有尾气后处理装置产品相关证书以及是否在船舶防止空气污染证书有相应的签注等。</w:t>
      </w:r>
    </w:p>
    <w:p>
      <w:pPr>
        <w:pStyle w:val="Heading3"/>
        <w:rPr>
          <w:color w:val="484848"/>
        </w:rPr>
      </w:pPr>
      <w:r>
        <w:rPr>
          <w:rFonts w:hint="eastAsia"/>
          <w:color w:val="484848"/>
        </w:rPr>
        <w:t>3.2 现场检查</w:t>
      </w:r>
    </w:p>
    <w:p>
      <w:pPr>
        <w:pStyle w:val="NormalWeb"/>
        <w:rPr>
          <w:color w:val="484848"/>
          <w:sz w:val="18"/>
          <w:szCs w:val="18"/>
        </w:rPr>
      </w:pPr>
      <w:r>
        <w:rPr>
          <w:rFonts w:hint="eastAsia"/>
          <w:color w:val="484848"/>
          <w:sz w:val="27"/>
          <w:szCs w:val="27"/>
        </w:rPr>
        <w:t>对于文书检查不合格、有违规记录或存在违规嫌疑的船舶，海事管理机构应对船舶使用岸电、清洁能源和加装尾气后处理装置进行现场巡查。</w:t>
      </w:r>
    </w:p>
    <w:p>
      <w:pPr>
        <w:pStyle w:val="Heading3"/>
        <w:rPr>
          <w:color w:val="484848"/>
        </w:rPr>
      </w:pPr>
      <w:r>
        <w:rPr>
          <w:rFonts w:hint="eastAsia"/>
          <w:color w:val="484848"/>
        </w:rPr>
        <w:t>3.3 结果处理</w:t>
      </w:r>
    </w:p>
    <w:p>
      <w:pPr>
        <w:pStyle w:val="NormalWeb"/>
        <w:rPr>
          <w:color w:val="484848"/>
          <w:sz w:val="18"/>
          <w:szCs w:val="18"/>
        </w:rPr>
      </w:pPr>
      <w:r>
        <w:rPr>
          <w:rFonts w:hint="eastAsia"/>
          <w:color w:val="484848"/>
          <w:sz w:val="27"/>
          <w:szCs w:val="27"/>
        </w:rPr>
        <w:t>船舶采取替代措施未满足与使用低硫燃油等效排放要求的，应当根据违法情节，依据法律法规或国际公约相关规定，按照下列一种或者几种方式进行处理：</w:t>
      </w:r>
    </w:p>
    <w:p>
      <w:pPr>
        <w:pStyle w:val="NormalWeb"/>
        <w:rPr>
          <w:color w:val="484848"/>
          <w:sz w:val="18"/>
          <w:szCs w:val="18"/>
        </w:rPr>
      </w:pPr>
      <w:r>
        <w:rPr>
          <w:rFonts w:hint="eastAsia"/>
          <w:color w:val="484848"/>
          <w:sz w:val="27"/>
          <w:szCs w:val="27"/>
        </w:rPr>
        <w:t>（1）警示教育；</w:t>
      </w:r>
    </w:p>
    <w:p>
      <w:pPr>
        <w:pStyle w:val="NormalWeb"/>
        <w:rPr>
          <w:color w:val="484848"/>
          <w:sz w:val="18"/>
          <w:szCs w:val="18"/>
        </w:rPr>
      </w:pPr>
      <w:r>
        <w:rPr>
          <w:rFonts w:hint="eastAsia"/>
          <w:color w:val="484848"/>
          <w:sz w:val="27"/>
          <w:szCs w:val="27"/>
        </w:rPr>
        <w:t>（2）纠正违规行为；</w:t>
      </w:r>
    </w:p>
    <w:p>
      <w:pPr>
        <w:pStyle w:val="NormalWeb"/>
        <w:rPr>
          <w:color w:val="484848"/>
          <w:sz w:val="18"/>
          <w:szCs w:val="18"/>
        </w:rPr>
      </w:pPr>
      <w:r>
        <w:rPr>
          <w:rFonts w:hint="eastAsia"/>
          <w:color w:val="484848"/>
          <w:sz w:val="27"/>
          <w:szCs w:val="27"/>
        </w:rPr>
        <w:t>（3）滞留。</w:t>
      </w:r>
    </w:p>
    <w:p>
      <w:pPr>
        <w:pStyle w:val="NormalWeb"/>
        <w:rPr>
          <w:color w:val="484848"/>
          <w:sz w:val="18"/>
          <w:szCs w:val="18"/>
        </w:rPr>
      </w:pPr>
      <w:r>
        <w:rPr>
          <w:rFonts w:hint="eastAsia"/>
          <w:color w:val="484848"/>
          <w:sz w:val="27"/>
          <w:szCs w:val="27"/>
        </w:rPr>
        <w:t> </w:t>
      </w:r>
    </w:p>
    <w:p>
      <w:pPr>
        <w:pStyle w:val="NormalWeb"/>
        <w:jc w:val="right"/>
        <w:rPr>
          <w:color w:val="484848"/>
          <w:sz w:val="18"/>
          <w:szCs w:val="18"/>
        </w:rPr>
      </w:pPr>
      <w:r>
        <w:rPr>
          <w:rFonts w:hint="eastAsia"/>
          <w:color w:val="484848"/>
          <w:sz w:val="27"/>
          <w:szCs w:val="27"/>
        </w:rPr>
        <w:t> </w:t>
      </w:r>
    </w:p>
    <w:p>
      <w:pPr>
        <w:pStyle w:val="NormalWeb"/>
        <w:jc w:val="right"/>
        <w:rPr>
          <w:color w:val="484848"/>
          <w:sz w:val="18"/>
          <w:szCs w:val="18"/>
        </w:rPr>
      </w:pPr>
      <w:r>
        <w:rPr>
          <w:rFonts w:hint="eastAsia"/>
          <w:color w:val="484848"/>
          <w:sz w:val="27"/>
          <w:szCs w:val="27"/>
        </w:rPr>
        <w:t> </w:t>
      </w:r>
    </w:p>
    <w:p>
      <w:pPr>
        <w:pStyle w:val="NormalWeb"/>
        <w:jc w:val="right"/>
        <w:rPr>
          <w:color w:val="484848"/>
          <w:sz w:val="18"/>
          <w:szCs w:val="18"/>
        </w:rPr>
      </w:pPr>
      <w:r>
        <w:rPr>
          <w:rFonts w:hint="eastAsia"/>
          <w:color w:val="484848"/>
          <w:sz w:val="27"/>
          <w:szCs w:val="27"/>
        </w:rPr>
        <w:t> </w:t>
      </w:r>
    </w:p>
    <w:p>
      <w:pPr>
        <w:pStyle w:val="NormalWeb"/>
        <w:rPr>
          <w:color w:val="484848"/>
          <w:sz w:val="18"/>
          <w:szCs w:val="18"/>
        </w:rPr>
      </w:pPr>
      <w:r>
        <w:rPr>
          <w:rFonts w:hint="eastAsia"/>
          <w:color w:val="484848"/>
          <w:sz w:val="18"/>
          <w:szCs w:val="18"/>
        </w:rPr>
        <w:t> </w:t>
      </w:r>
    </w:p>
    <w:p>
      <w:r>
        <w:rPr>
          <w:rFonts w:hint="eastAsia"/>
          <w:color w:val="484848"/>
          <w:sz w:val="18"/>
          <w:szCs w:val="18"/>
        </w:rPr>
        <w:br w:type="textWrapping" w:clear="all"/>
      </w:r>
    </w:p>
    <w:sect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911D3"/>
    <w:multiLevelType w:val="multilevel"/>
    <w:tmpl w:val="191CC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8117C9"/>
    <w:multiLevelType w:val="multilevel"/>
    <w:tmpl w:val="53680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paragraph" w:styleId="Heading2">
    <w:name w:val="heading 2"/>
    <w:basedOn w:val="Normal"/>
    <w:link w:val="Heading2Char"/>
    <w:uiPriority w:val="9"/>
    <w:qFormat/>
    <w:pPr>
      <w:widowControl/>
      <w:spacing w:before="100" w:beforeAutospacing="1" w:after="100" w:afterAutospacing="1"/>
      <w:jc w:val="left"/>
      <w:outlineLvl w:val="1"/>
    </w:pPr>
    <w:rPr>
      <w:rFonts w:ascii="SimSun" w:eastAsia="SimSun" w:hAnsi="SimSun" w:cs="SimSun"/>
      <w:b/>
      <w:bCs/>
      <w:kern w:val="0"/>
      <w:sz w:val="36"/>
      <w:szCs w:val="36"/>
    </w:rPr>
  </w:style>
  <w:style w:type="paragraph" w:styleId="Heading3">
    <w:name w:val="heading 3"/>
    <w:basedOn w:val="Normal"/>
    <w:link w:val="Heading3Char"/>
    <w:uiPriority w:val="9"/>
    <w:qFormat/>
    <w:pPr>
      <w:widowControl/>
      <w:spacing w:before="100" w:beforeAutospacing="1" w:after="100" w:afterAutospacing="1"/>
      <w:jc w:val="left"/>
      <w:outlineLvl w:val="2"/>
    </w:pPr>
    <w:rPr>
      <w:rFonts w:ascii="SimSun" w:eastAsia="SimSun" w:hAnsi="SimSun" w:cs="SimSu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SimSun" w:eastAsia="SimSun" w:hAnsi="SimSun" w:cs="SimSun"/>
      <w:b/>
      <w:bCs/>
      <w:kern w:val="0"/>
      <w:sz w:val="36"/>
      <w:szCs w:val="36"/>
    </w:rPr>
  </w:style>
  <w:style w:type="character" w:customStyle="1" w:styleId="Heading3Char">
    <w:name w:val="Heading 3 Char"/>
    <w:basedOn w:val="DefaultParagraphFont"/>
    <w:link w:val="Heading3"/>
    <w:uiPriority w:val="9"/>
    <w:rPr>
      <w:rFonts w:ascii="SimSun" w:eastAsia="SimSun" w:hAnsi="SimSun" w:cs="SimSun"/>
      <w:b/>
      <w:bCs/>
      <w:kern w:val="0"/>
      <w:sz w:val="27"/>
      <w:szCs w:val="27"/>
    </w:rPr>
  </w:style>
  <w:style w:type="paragraph" w:styleId="NormalWeb">
    <w:name w:val="Normal (Web)"/>
    <w:basedOn w:val="Normal"/>
    <w:uiPriority w:val="99"/>
    <w:unhideWhenUsed/>
    <w:pPr>
      <w:widowControl/>
      <w:spacing w:before="100" w:beforeAutospacing="1" w:after="100" w:afterAutospacing="1"/>
      <w:jc w:val="left"/>
    </w:pPr>
    <w:rPr>
      <w:rFonts w:ascii="SimSun" w:eastAsia="SimSun" w:hAnsi="SimSun" w:cs="SimSun"/>
      <w:kern w:val="0"/>
      <w:sz w:val="24"/>
      <w:szCs w:val="24"/>
    </w:rPr>
  </w:style>
  <w:style w:type="character" w:styleId="Strong">
    <w:name w:val="Strong"/>
    <w:basedOn w:val="DefaultParagraphFont"/>
    <w:uiPriority w:val="22"/>
    <w:qFormat/>
    <w:rPr>
      <w:b/>
      <w:bCs/>
    </w:r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rPr>
      <w:sz w:val="18"/>
      <w:szCs w:val="18"/>
    </w:rPr>
  </w:style>
  <w:style w:type="character" w:customStyle="1" w:styleId="BalloonTextChar">
    <w:name w:val="Balloon Text Char"/>
    <w:basedOn w:val="DefaultParagraphFont"/>
    <w:link w:val="BalloonText"/>
    <w:uiPriority w:val="99"/>
    <w:semiHidden/>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paragraph" w:styleId="Heading2">
    <w:name w:val="heading 2"/>
    <w:basedOn w:val="Normal"/>
    <w:link w:val="Heading2Char"/>
    <w:uiPriority w:val="9"/>
    <w:qFormat/>
    <w:rsid w:val="006D62EB"/>
    <w:pPr>
      <w:widowControl/>
      <w:spacing w:before="100" w:beforeAutospacing="1" w:after="100" w:afterAutospacing="1"/>
      <w:jc w:val="left"/>
      <w:outlineLvl w:val="1"/>
    </w:pPr>
    <w:rPr>
      <w:rFonts w:ascii="SimSun" w:eastAsia="SimSun" w:hAnsi="SimSun" w:cs="SimSun"/>
      <w:b/>
      <w:bCs/>
      <w:kern w:val="0"/>
      <w:sz w:val="36"/>
      <w:szCs w:val="36"/>
    </w:rPr>
  </w:style>
  <w:style w:type="paragraph" w:styleId="Heading3">
    <w:name w:val="heading 3"/>
    <w:basedOn w:val="Normal"/>
    <w:link w:val="Heading3Char"/>
    <w:uiPriority w:val="9"/>
    <w:qFormat/>
    <w:rsid w:val="006D62EB"/>
    <w:pPr>
      <w:widowControl/>
      <w:spacing w:before="100" w:beforeAutospacing="1" w:after="100" w:afterAutospacing="1"/>
      <w:jc w:val="left"/>
      <w:outlineLvl w:val="2"/>
    </w:pPr>
    <w:rPr>
      <w:rFonts w:ascii="SimSun" w:eastAsia="SimSun" w:hAnsi="SimSun" w:cs="SimSu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标题 2 Char"/>
    <w:basedOn w:val="DefaultParagraphFont"/>
    <w:link w:val="Heading2"/>
    <w:uiPriority w:val="9"/>
    <w:rsid w:val="006D62EB"/>
    <w:rPr>
      <w:rFonts w:ascii="SimSun" w:eastAsia="SimSun" w:hAnsi="SimSun" w:cs="SimSun"/>
      <w:b/>
      <w:bCs/>
      <w:kern w:val="0"/>
      <w:sz w:val="36"/>
      <w:szCs w:val="36"/>
    </w:rPr>
  </w:style>
  <w:style w:type="character" w:customStyle="1" w:styleId="Heading3Char">
    <w:name w:val="标题 3 Char"/>
    <w:basedOn w:val="DefaultParagraphFont"/>
    <w:link w:val="Heading3"/>
    <w:uiPriority w:val="9"/>
    <w:rsid w:val="006D62EB"/>
    <w:rPr>
      <w:rFonts w:ascii="SimSun" w:eastAsia="SimSun" w:hAnsi="SimSun" w:cs="SimSun"/>
      <w:b/>
      <w:bCs/>
      <w:kern w:val="0"/>
      <w:sz w:val="27"/>
      <w:szCs w:val="27"/>
    </w:rPr>
  </w:style>
  <w:style w:type="paragraph" w:styleId="NormalWeb">
    <w:name w:val="Normal (Web)"/>
    <w:basedOn w:val="Normal"/>
    <w:uiPriority w:val="99"/>
    <w:unhideWhenUsed/>
    <w:rsid w:val="006D62EB"/>
    <w:pPr>
      <w:widowControl/>
      <w:spacing w:before="100" w:beforeAutospacing="1" w:after="100" w:afterAutospacing="1"/>
      <w:jc w:val="left"/>
    </w:pPr>
    <w:rPr>
      <w:rFonts w:ascii="SimSun" w:eastAsia="SimSun" w:hAnsi="SimSun" w:cs="SimSun"/>
      <w:kern w:val="0"/>
      <w:sz w:val="24"/>
      <w:szCs w:val="24"/>
    </w:rPr>
  </w:style>
  <w:style w:type="character" w:styleId="Strong">
    <w:name w:val="Strong"/>
    <w:basedOn w:val="DefaultParagraphFont"/>
    <w:uiPriority w:val="22"/>
    <w:qFormat/>
    <w:rsid w:val="006D62EB"/>
    <w:rPr>
      <w:b/>
      <w:bCs/>
    </w:rPr>
  </w:style>
  <w:style w:type="character" w:customStyle="1" w:styleId="apple-converted-space">
    <w:name w:val="apple-converted-space"/>
    <w:basedOn w:val="DefaultParagraphFont"/>
    <w:rsid w:val="006D62EB"/>
  </w:style>
  <w:style w:type="paragraph" w:styleId="BalloonText">
    <w:name w:val="Balloon Text"/>
    <w:basedOn w:val="Normal"/>
    <w:link w:val="BalloonTextChar"/>
    <w:uiPriority w:val="99"/>
    <w:semiHidden/>
    <w:unhideWhenUsed/>
    <w:rsid w:val="006D62EB"/>
    <w:rPr>
      <w:sz w:val="18"/>
      <w:szCs w:val="18"/>
    </w:rPr>
  </w:style>
  <w:style w:type="character" w:customStyle="1" w:styleId="BalloonTextChar">
    <w:name w:val="批注框文本 Char"/>
    <w:basedOn w:val="DefaultParagraphFont"/>
    <w:link w:val="BalloonText"/>
    <w:uiPriority w:val="99"/>
    <w:semiHidden/>
    <w:rsid w:val="006D62EB"/>
    <w:rPr>
      <w:sz w:val="18"/>
      <w:szCs w:val="18"/>
    </w:rPr>
  </w:style>
  <w:style w:type="paragraph" w:styleId="Header">
    <w:name w:val="header"/>
    <w:basedOn w:val="Normal"/>
    <w:link w:val="HeaderChar"/>
    <w:uiPriority w:val="99"/>
    <w:unhideWhenUsed/>
    <w:rsid w:val="00D27322"/>
    <w:pPr>
      <w:pBdr>
        <w:bottom w:val="single" w:sz="6" w:space="1" w:color="auto"/>
      </w:pBdr>
      <w:tabs>
        <w:tab w:val="center" w:pos="4153"/>
        <w:tab w:val="right" w:pos="8306"/>
      </w:tabs>
      <w:snapToGrid w:val="0"/>
      <w:jc w:val="center"/>
    </w:pPr>
    <w:rPr>
      <w:sz w:val="18"/>
      <w:szCs w:val="18"/>
    </w:rPr>
  </w:style>
  <w:style w:type="character" w:customStyle="1" w:styleId="HeaderChar">
    <w:name w:val="页眉 Char"/>
    <w:basedOn w:val="DefaultParagraphFont"/>
    <w:link w:val="Header"/>
    <w:uiPriority w:val="99"/>
    <w:rsid w:val="00D27322"/>
    <w:rPr>
      <w:sz w:val="18"/>
      <w:szCs w:val="18"/>
    </w:rPr>
  </w:style>
  <w:style w:type="paragraph" w:styleId="Footer">
    <w:name w:val="footer"/>
    <w:basedOn w:val="Normal"/>
    <w:link w:val="FooterChar"/>
    <w:uiPriority w:val="99"/>
    <w:unhideWhenUsed/>
    <w:rsid w:val="00D27322"/>
    <w:pPr>
      <w:tabs>
        <w:tab w:val="center" w:pos="4153"/>
        <w:tab w:val="right" w:pos="8306"/>
      </w:tabs>
      <w:snapToGrid w:val="0"/>
      <w:jc w:val="left"/>
    </w:pPr>
    <w:rPr>
      <w:sz w:val="18"/>
      <w:szCs w:val="18"/>
    </w:rPr>
  </w:style>
  <w:style w:type="character" w:customStyle="1" w:styleId="FooterChar">
    <w:name w:val="页脚 Char"/>
    <w:basedOn w:val="DefaultParagraphFont"/>
    <w:link w:val="Footer"/>
    <w:uiPriority w:val="99"/>
    <w:rsid w:val="00D273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537596">
      <w:bodyDiv w:val="1"/>
      <w:marLeft w:val="0"/>
      <w:marRight w:val="0"/>
      <w:marTop w:val="0"/>
      <w:marBottom w:val="0"/>
      <w:divBdr>
        <w:top w:val="none" w:sz="0" w:space="0" w:color="auto"/>
        <w:left w:val="none" w:sz="0" w:space="0" w:color="auto"/>
        <w:bottom w:val="none" w:sz="0" w:space="0" w:color="auto"/>
        <w:right w:val="none" w:sz="0" w:space="0" w:color="auto"/>
      </w:divBdr>
    </w:div>
    <w:div w:id="1210533583">
      <w:bodyDiv w:val="1"/>
      <w:marLeft w:val="0"/>
      <w:marRight w:val="0"/>
      <w:marTop w:val="0"/>
      <w:marBottom w:val="0"/>
      <w:divBdr>
        <w:top w:val="none" w:sz="0" w:space="0" w:color="auto"/>
        <w:left w:val="none" w:sz="0" w:space="0" w:color="auto"/>
        <w:bottom w:val="none" w:sz="0" w:space="0" w:color="auto"/>
        <w:right w:val="none" w:sz="0" w:space="0" w:color="auto"/>
      </w:divBdr>
    </w:div>
    <w:div w:id="165275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469</Words>
  <Characters>2674</Characters>
  <Application>Microsoft Office Word</Application>
  <DocSecurity>0</DocSecurity>
  <Lines>22</Lines>
  <Paragraphs>6</Paragraphs>
  <ScaleCrop>false</ScaleCrop>
  <Company>Microsoft</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pati-svc</cp:lastModifiedBy>
  <cp:revision>2</cp:revision>
  <dcterms:created xsi:type="dcterms:W3CDTF">2016-07-19T13:26:00Z</dcterms:created>
  <dcterms:modified xsi:type="dcterms:W3CDTF">2016-07-19T13:26:00Z</dcterms:modified>
</cp:coreProperties>
</file>