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F9" w:rsidRDefault="000E61F9" w:rsidP="000E61F9">
      <w:pPr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From: C.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>Fernie &amp; Co S.A.</w:t>
      </w:r>
    </w:p>
    <w:p w:rsidR="000E61F9" w:rsidRDefault="000E61F9" w:rsidP="000E61F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January 28th 2020</w:t>
      </w:r>
    </w:p>
    <w:p w:rsidR="000E61F9" w:rsidRDefault="000E61F9" w:rsidP="000E61F9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REF: WATER CONSERVATION STRATEGIES AT THE 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         PANAMA CANAL - DRAFT SITUATION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Further to the attached advisory, the Panama Canal Authority held a seminar this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morning,  where they provided us with details of the modifications being made to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the Water Conservation Strategies as indicated in their last advisory (ADV-02-2020),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as follows: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The Canal Authority states that these additional Water Conservation Strategies are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meant to guarantee 44-00 FT (13.41m) drafts for the Neopanamax locks and the 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current 39ft 06in (12.04m) drafts for the Panamax locks from Feb 15th through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to </w:t>
      </w:r>
      <w:r>
        <w:rPr>
          <w:rFonts w:ascii="Tahoma" w:hAnsi="Tahoma" w:cs="Tahoma"/>
          <w:color w:val="336699"/>
          <w:sz w:val="24"/>
          <w:szCs w:val="24"/>
        </w:rPr>
        <w:t>May 15th,</w:t>
      </w:r>
      <w:r>
        <w:rPr>
          <w:rFonts w:ascii="Tahoma" w:hAnsi="Tahoma" w:cs="Tahoma"/>
          <w:color w:val="000000"/>
          <w:sz w:val="24"/>
          <w:szCs w:val="24"/>
        </w:rPr>
        <w:t> 2020. 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br/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Fresh Water fixed surcharge will be subject to vessel (LOA): USD $</w:t>
      </w:r>
      <w:hyperlink r:id="rId6" w:tgtFrame="_blank" w:history="1">
        <w:r>
          <w:rPr>
            <w:rStyle w:val="Hyperlink"/>
            <w:rFonts w:ascii="Tahoma" w:hAnsi="Tahoma" w:cs="Tahoma"/>
            <w:color w:val="000000"/>
            <w:sz w:val="24"/>
            <w:szCs w:val="24"/>
          </w:rPr>
          <w:t>2,500.00 (125</w:t>
        </w:r>
      </w:hyperlink>
      <w:r>
        <w:rPr>
          <w:rFonts w:ascii="Tahoma" w:hAnsi="Tahoma" w:cs="Tahoma"/>
          <w:color w:val="000000"/>
          <w:sz w:val="24"/>
          <w:szCs w:val="24"/>
        </w:rPr>
        <w:t>.00ft 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to 199.99ft  LOA); USD $</w:t>
      </w:r>
      <w:hyperlink r:id="rId7" w:tgtFrame="_blank" w:history="1">
        <w:r>
          <w:rPr>
            <w:rStyle w:val="Hyperlink"/>
            <w:rFonts w:ascii="Tahoma" w:hAnsi="Tahoma" w:cs="Tahoma"/>
            <w:color w:val="000000"/>
            <w:sz w:val="24"/>
            <w:szCs w:val="24"/>
          </w:rPr>
          <w:t>5,000.00</w:t>
        </w:r>
      </w:hyperlink>
      <w:r>
        <w:rPr>
          <w:rFonts w:ascii="Tahoma" w:hAnsi="Tahoma" w:cs="Tahoma"/>
          <w:color w:val="000000"/>
          <w:sz w:val="24"/>
          <w:szCs w:val="24"/>
        </w:rPr>
        <w:t> </w:t>
      </w:r>
      <w:hyperlink r:id="rId8" w:tgtFrame="_blank" w:history="1">
        <w:r>
          <w:rPr>
            <w:rStyle w:val="Hyperlink"/>
            <w:rFonts w:ascii="Tahoma" w:hAnsi="Tahoma" w:cs="Tahoma"/>
            <w:color w:val="000000"/>
            <w:sz w:val="24"/>
            <w:szCs w:val="24"/>
          </w:rPr>
          <w:t>(200</w:t>
        </w:r>
      </w:hyperlink>
      <w:r>
        <w:rPr>
          <w:rFonts w:ascii="Tahoma" w:hAnsi="Tahoma" w:cs="Tahoma"/>
          <w:color w:val="000000"/>
          <w:sz w:val="24"/>
          <w:szCs w:val="24"/>
        </w:rPr>
        <w:t>ft to 299.99ft LOA); and USD $</w:t>
      </w:r>
      <w:hyperlink r:id="rId9" w:tgtFrame="_blank" w:history="1">
        <w:r>
          <w:rPr>
            <w:rStyle w:val="Hyperlink"/>
            <w:rFonts w:ascii="Tahoma" w:hAnsi="Tahoma" w:cs="Tahoma"/>
            <w:color w:val="000000"/>
            <w:sz w:val="24"/>
            <w:szCs w:val="24"/>
          </w:rPr>
          <w:t>10,000.00</w:t>
        </w:r>
      </w:hyperlink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hyperlink r:id="rId10" w:tgtFrame="_blank" w:history="1">
        <w:r>
          <w:rPr>
            <w:rStyle w:val="Hyperlink"/>
            <w:rFonts w:ascii="Tahoma" w:hAnsi="Tahoma" w:cs="Tahoma"/>
            <w:color w:val="000000"/>
            <w:sz w:val="24"/>
            <w:szCs w:val="24"/>
          </w:rPr>
          <w:t>(300</w:t>
        </w:r>
      </w:hyperlink>
      <w:r>
        <w:rPr>
          <w:rFonts w:ascii="Tahoma" w:hAnsi="Tahoma" w:cs="Tahoma"/>
          <w:color w:val="000000"/>
          <w:sz w:val="24"/>
          <w:szCs w:val="24"/>
        </w:rPr>
        <w:t>ft LOA and over). 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br/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Fresh Water variable surcharge will remain, subject to daily levels of Gatun lake, and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ranging from 1% to 10% of vessel Canal tolls during the 90-day dry season  (</w:t>
      </w:r>
      <w:r>
        <w:rPr>
          <w:rFonts w:ascii="Tahoma" w:hAnsi="Tahoma" w:cs="Tahoma"/>
          <w:color w:val="336699"/>
          <w:sz w:val="24"/>
          <w:szCs w:val="24"/>
        </w:rPr>
        <w:t>Feb 15</w:t>
      </w:r>
      <w:r>
        <w:rPr>
          <w:rFonts w:ascii="Tahoma" w:hAnsi="Tahoma" w:cs="Tahoma"/>
          <w:color w:val="000000"/>
          <w:sz w:val="24"/>
          <w:szCs w:val="24"/>
        </w:rPr>
        <w:t> 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to </w:t>
      </w:r>
      <w:r>
        <w:rPr>
          <w:rFonts w:ascii="Tahoma" w:hAnsi="Tahoma" w:cs="Tahoma"/>
          <w:color w:val="336699"/>
          <w:sz w:val="24"/>
          <w:szCs w:val="24"/>
        </w:rPr>
        <w:t>May 15</w:t>
      </w:r>
      <w:r>
        <w:rPr>
          <w:rFonts w:ascii="Tahoma" w:hAnsi="Tahoma" w:cs="Tahoma"/>
          <w:color w:val="000000"/>
          <w:sz w:val="24"/>
          <w:szCs w:val="24"/>
        </w:rPr>
        <w:t> 2020).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- With the level Gatun lake currently at 83.53ft we expect the lake level to drop to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  approx 83.00ft by the implementation date (Feb 15th) on which basis the variable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  surcharge will be 3.54% according to the table in the attached advisory.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The Fresh Water surcharge is here to stay although the Canal Authority will evaluate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to what capacity following the 2020 </w:t>
      </w:r>
      <w:r>
        <w:rPr>
          <w:rFonts w:ascii="Tahoma" w:hAnsi="Tahoma" w:cs="Tahoma"/>
          <w:color w:val="000000"/>
          <w:sz w:val="24"/>
          <w:szCs w:val="24"/>
        </w:rPr>
        <w:t>dry season; Canal Authority will fund Fresh Water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infrastructure projects by means  of this surcharge in the medium and long term.  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br/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The Canal Authority is working on a platform that will allow 60-day real-time projection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on Gatun Lake  level. 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CFDFE"/>
        </w:rPr>
        <w:t>- More details to come in due course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CFDFE"/>
        </w:rPr>
        <w:br/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CFDFE"/>
        </w:rPr>
        <w:t>The booking system will see 27 booked vessel maximum per day (under Condition 1.a),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CFDFE"/>
        </w:rPr>
        <w:t>with an additional two (2) auction slots (one for "supers" (vsls with beams greater or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CFDFE"/>
        </w:rPr>
        <w:t>equal to 91ft) and one for "regular" vsls (vsls with beams less than 91ft) during the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CFDFE"/>
        </w:rPr>
        <w:t>3rd Booking Period (3 to 2 days prior requested transit date), for a total of 30 lockages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CFDFE"/>
        </w:rPr>
        <w:lastRenderedPageBreak/>
        <w:t>planned daily for Canal transits during the projected dry season (</w:t>
      </w:r>
      <w:r>
        <w:rPr>
          <w:rFonts w:ascii="Tahoma" w:hAnsi="Tahoma" w:cs="Tahoma"/>
          <w:color w:val="336699"/>
          <w:sz w:val="24"/>
          <w:szCs w:val="24"/>
          <w:shd w:val="clear" w:color="auto" w:fill="FCFDFE"/>
        </w:rPr>
        <w:t>Feb 15</w:t>
      </w:r>
      <w:r>
        <w:rPr>
          <w:rFonts w:ascii="Tahoma" w:hAnsi="Tahoma" w:cs="Tahoma"/>
          <w:color w:val="000000"/>
          <w:sz w:val="24"/>
          <w:szCs w:val="24"/>
          <w:shd w:val="clear" w:color="auto" w:fill="FCFDFE"/>
        </w:rPr>
        <w:t> to </w:t>
      </w:r>
      <w:r>
        <w:rPr>
          <w:rFonts w:ascii="Tahoma" w:hAnsi="Tahoma" w:cs="Tahoma"/>
          <w:color w:val="336699"/>
          <w:sz w:val="24"/>
          <w:szCs w:val="24"/>
          <w:shd w:val="clear" w:color="auto" w:fill="FCFDFE"/>
        </w:rPr>
        <w:t>May 15)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Once vsls have had their transit pre-booked we have 48 hrs to receive and place the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required funds with the Canal Authority otherwise the booking slot will be voided and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the vsl will return to non-booked status.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ETA Charges: Once a visit has been created for Canal transit, we understand, there will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not be penalties for changes to vessel ETA for now (unless there is a visit cancellation) 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Vessel ETA handling fee charge (applicable for Canal transits, not local calls) will remain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as follows USD $</w:t>
      </w:r>
      <w:hyperlink r:id="rId11" w:tgtFrame="_blank" w:history="1">
        <w:r>
          <w:rPr>
            <w:rStyle w:val="Hyperlink"/>
            <w:rFonts w:ascii="Tahoma" w:hAnsi="Tahoma" w:cs="Tahoma"/>
            <w:color w:val="336699"/>
            <w:sz w:val="24"/>
            <w:szCs w:val="24"/>
          </w:rPr>
          <w:t>1,500.00 (125</w:t>
        </w:r>
      </w:hyperlink>
      <w:r>
        <w:rPr>
          <w:rFonts w:ascii="Tahoma" w:hAnsi="Tahoma" w:cs="Tahoma"/>
          <w:color w:val="000000"/>
          <w:sz w:val="24"/>
          <w:szCs w:val="24"/>
        </w:rPr>
        <w:t> FT LOA, but less than 91 FT beam) &amp; USD $</w:t>
      </w:r>
      <w:hyperlink r:id="rId12" w:tgtFrame="_blank" w:history="1">
        <w:r>
          <w:rPr>
            <w:rStyle w:val="Hyperlink"/>
            <w:rFonts w:ascii="Tahoma" w:hAnsi="Tahoma" w:cs="Tahoma"/>
            <w:color w:val="336699"/>
            <w:sz w:val="24"/>
            <w:szCs w:val="24"/>
          </w:rPr>
          <w:t>5,000.00</w:t>
        </w:r>
      </w:hyperlink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hyperlink r:id="rId13" w:tgtFrame="_blank" w:history="1">
        <w:r>
          <w:rPr>
            <w:rStyle w:val="Hyperlink"/>
            <w:rFonts w:ascii="Tahoma" w:hAnsi="Tahoma" w:cs="Tahoma"/>
            <w:color w:val="336699"/>
            <w:sz w:val="24"/>
            <w:szCs w:val="24"/>
          </w:rPr>
          <w:t>(91</w:t>
        </w:r>
      </w:hyperlink>
      <w:r>
        <w:rPr>
          <w:rFonts w:ascii="Tahoma" w:hAnsi="Tahoma" w:cs="Tahoma"/>
          <w:color w:val="000000"/>
          <w:sz w:val="24"/>
          <w:szCs w:val="24"/>
        </w:rPr>
        <w:t> FT beam and over).  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br/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The above-mentioned fee will be deducted from the vessel’s tolls invoice once the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</w:rPr>
      </w:pP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vessel transits. If the vessel cancels the transit itinerary, this fee will not be refunded.</w:t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br/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br/>
      </w:r>
    </w:p>
    <w:p w:rsidR="000E61F9" w:rsidRDefault="000E61F9" w:rsidP="000E61F9">
      <w:pPr>
        <w:shd w:val="clear" w:color="auto" w:fill="FDFDFD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Best regards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85"/>
        <w:gridCol w:w="7286"/>
      </w:tblGrid>
      <w:tr w:rsidR="000E61F9" w:rsidTr="000E61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1F9" w:rsidRDefault="000E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2940" cy="762000"/>
                  <wp:effectExtent l="0" t="0" r="3810" b="0"/>
                  <wp:docPr id="1" name="Picture 1" descr="C. Fernie &amp; CO. S.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. Fernie &amp; CO. S.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1F9" w:rsidRDefault="000E61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808080"/>
                <w:sz w:val="20"/>
                <w:szCs w:val="20"/>
              </w:rPr>
              <w:t>Charles "Andre" Perret</w:t>
            </w:r>
            <w:r>
              <w:rPr>
                <w:rFonts w:ascii="Verdana" w:eastAsia="Times New Roman" w:hAnsi="Verdana" w:cs="Times New Roman"/>
                <w:color w:val="888888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iCs/>
                <w:color w:val="888888"/>
                <w:sz w:val="20"/>
                <w:szCs w:val="20"/>
              </w:rPr>
              <w:t>, Manager P&amp;I Department</w:t>
            </w:r>
          </w:p>
          <w:p w:rsidR="000E61F9" w:rsidRDefault="000E61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808080"/>
                <w:sz w:val="20"/>
                <w:szCs w:val="20"/>
              </w:rPr>
              <w:t>Tel: (507) 211-9488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FF6600"/>
                <w:sz w:val="20"/>
                <w:szCs w:val="20"/>
              </w:rPr>
              <w:t>|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808080"/>
                <w:sz w:val="20"/>
                <w:szCs w:val="20"/>
              </w:rPr>
              <w:t xml:space="preserve">Fax: (507) 211-9450 </w:t>
            </w:r>
            <w:r>
              <w:rPr>
                <w:rFonts w:ascii="Verdana" w:eastAsia="Times New Roman" w:hAnsi="Verdana" w:cs="Times New Roman"/>
                <w:color w:val="FF6600"/>
                <w:sz w:val="20"/>
                <w:szCs w:val="20"/>
              </w:rPr>
              <w:t xml:space="preserve">| </w:t>
            </w:r>
            <w:r>
              <w:rPr>
                <w:rFonts w:ascii="Verdana" w:eastAsia="Times New Roman" w:hAnsi="Verdana" w:cs="Times New Roman"/>
                <w:color w:val="808080"/>
                <w:sz w:val="20"/>
                <w:szCs w:val="20"/>
              </w:rPr>
              <w:t>Mobile: (507) 6617-3229</w:t>
            </w:r>
            <w:r>
              <w:rPr>
                <w:rFonts w:ascii="Verdana" w:eastAsia="Times New Roman" w:hAnsi="Verdana" w:cs="Times New Roman"/>
                <w:color w:val="808080"/>
                <w:sz w:val="20"/>
                <w:szCs w:val="20"/>
              </w:rPr>
              <w:br/>
            </w:r>
          </w:p>
          <w:p w:rsidR="000E61F9" w:rsidRDefault="000E61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ferniepi@cfernie.com</w:t>
              </w:r>
            </w:hyperlink>
            <w:r>
              <w:rPr>
                <w:rFonts w:ascii="Verdana" w:eastAsia="Times New Roman" w:hAnsi="Verdana" w:cs="Times New Roman"/>
                <w:color w:val="666699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FF6600"/>
                <w:sz w:val="20"/>
                <w:szCs w:val="20"/>
              </w:rPr>
              <w:t xml:space="preserve">| </w:t>
            </w:r>
            <w:hyperlink r:id="rId16" w:tgtFrame="_blank" w:history="1">
              <w:r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www.cfernie.com</w:t>
              </w:r>
            </w:hyperlink>
            <w:r>
              <w:rPr>
                <w:rFonts w:ascii="Verdana" w:eastAsia="Times New Roman" w:hAnsi="Verdana" w:cs="Times New Roman"/>
                <w:color w:val="666699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as Agents only</w:t>
            </w:r>
          </w:p>
        </w:tc>
      </w:tr>
    </w:tbl>
    <w:p w:rsidR="007E3DB1" w:rsidRPr="00657EB5" w:rsidRDefault="007E3DB1">
      <w:pPr>
        <w:rPr>
          <w:rFonts w:asciiTheme="minorBidi" w:hAnsiTheme="minorBidi" w:cstheme="minorBidi"/>
        </w:rPr>
      </w:pPr>
    </w:p>
    <w:sectPr w:rsidR="007E3DB1" w:rsidRPr="00657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1F9" w:rsidRDefault="000E61F9" w:rsidP="00657EB5">
      <w:r>
        <w:separator/>
      </w:r>
    </w:p>
  </w:endnote>
  <w:endnote w:type="continuationSeparator" w:id="0">
    <w:p w:rsidR="000E61F9" w:rsidRDefault="000E61F9" w:rsidP="0065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1F9" w:rsidRDefault="000E61F9" w:rsidP="00657EB5">
      <w:r>
        <w:separator/>
      </w:r>
    </w:p>
  </w:footnote>
  <w:footnote w:type="continuationSeparator" w:id="0">
    <w:p w:rsidR="000E61F9" w:rsidRDefault="000E61F9" w:rsidP="0065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F9"/>
    <w:rsid w:val="000E61F9"/>
    <w:rsid w:val="00657EB5"/>
    <w:rsid w:val="007E3DB1"/>
    <w:rsid w:val="008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948A6"/>
  <w15:chartTrackingRefBased/>
  <w15:docId w15:val="{B94A267E-9281-4840-AE25-33EF6E75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1F9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EB5"/>
    <w:pPr>
      <w:tabs>
        <w:tab w:val="center" w:pos="4513"/>
        <w:tab w:val="right" w:pos="9026"/>
      </w:tabs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57EB5"/>
  </w:style>
  <w:style w:type="paragraph" w:styleId="Footer">
    <w:name w:val="footer"/>
    <w:basedOn w:val="Normal"/>
    <w:link w:val="FooterChar"/>
    <w:uiPriority w:val="99"/>
    <w:unhideWhenUsed/>
    <w:rsid w:val="00657EB5"/>
    <w:pPr>
      <w:tabs>
        <w:tab w:val="center" w:pos="4513"/>
        <w:tab w:val="right" w:pos="9026"/>
      </w:tabs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7EB5"/>
  </w:style>
  <w:style w:type="character" w:styleId="Hyperlink">
    <w:name w:val="Hyperlink"/>
    <w:basedOn w:val="DefaultParagraphFont"/>
    <w:uiPriority w:val="99"/>
    <w:semiHidden/>
    <w:unhideWhenUsed/>
    <w:rsid w:val="000E6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5,000.00%20(200" TargetMode="External"/><Relationship Id="rId13" Type="http://schemas.openxmlformats.org/officeDocument/2006/relationships/hyperlink" Target="callto:5,000.00%20(9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allto:5,000.00%20(200" TargetMode="External"/><Relationship Id="rId12" Type="http://schemas.openxmlformats.org/officeDocument/2006/relationships/hyperlink" Target="callto:5,000.00%20(9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fernie.com" TargetMode="External"/><Relationship Id="rId1" Type="http://schemas.openxmlformats.org/officeDocument/2006/relationships/styles" Target="styles.xml"/><Relationship Id="rId6" Type="http://schemas.openxmlformats.org/officeDocument/2006/relationships/hyperlink" Target="callto:2,500.00%20(125" TargetMode="External"/><Relationship Id="rId11" Type="http://schemas.openxmlformats.org/officeDocument/2006/relationships/hyperlink" Target="callto:1,500.00%20(125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erniepi@cfernie.com" TargetMode="External"/><Relationship Id="rId10" Type="http://schemas.openxmlformats.org/officeDocument/2006/relationships/hyperlink" Target="callto:10,000.00%20(300" TargetMode="External"/><Relationship Id="rId4" Type="http://schemas.openxmlformats.org/officeDocument/2006/relationships/footnotes" Target="footnotes.xml"/><Relationship Id="rId9" Type="http://schemas.openxmlformats.org/officeDocument/2006/relationships/hyperlink" Target="callto:10,000.00%20(300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Miller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Tan</dc:creator>
  <cp:keywords/>
  <dc:description/>
  <cp:lastModifiedBy>Jacqueline Tan</cp:lastModifiedBy>
  <cp:revision>1</cp:revision>
  <dcterms:created xsi:type="dcterms:W3CDTF">2020-02-05T12:09:00Z</dcterms:created>
  <dcterms:modified xsi:type="dcterms:W3CDTF">2020-02-05T12:10:00Z</dcterms:modified>
</cp:coreProperties>
</file>